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29" w:rsidRDefault="00F73529" w:rsidP="005E446D">
      <w:pPr>
        <w:widowControl/>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spacing w:line="360" w:lineRule="auto"/>
        <w:jc w:val="center"/>
        <w:rPr>
          <w:rFonts w:ascii="宋体" w:hAnsi="宋体"/>
          <w:b/>
          <w:color w:val="000000"/>
          <w:sz w:val="44"/>
          <w:szCs w:val="44"/>
        </w:rPr>
      </w:pPr>
    </w:p>
    <w:p w:rsidR="004741EA" w:rsidRDefault="005E446D" w:rsidP="005E446D">
      <w:pPr>
        <w:widowControl/>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spacing w:line="360" w:lineRule="auto"/>
        <w:jc w:val="center"/>
        <w:rPr>
          <w:rFonts w:ascii="宋体" w:hAnsi="宋体"/>
          <w:b/>
          <w:color w:val="000000"/>
          <w:sz w:val="44"/>
          <w:szCs w:val="44"/>
        </w:rPr>
      </w:pPr>
      <w:r w:rsidRPr="0061478C">
        <w:rPr>
          <w:rFonts w:ascii="宋体" w:hAnsi="宋体" w:hint="eastAsia"/>
          <w:b/>
          <w:color w:val="000000"/>
          <w:sz w:val="44"/>
          <w:szCs w:val="44"/>
        </w:rPr>
        <w:t>关于《</w:t>
      </w:r>
      <w:r>
        <w:rPr>
          <w:rFonts w:ascii="宋体" w:hAnsi="宋体" w:cs="宋体" w:hint="eastAsia"/>
          <w:b/>
          <w:color w:val="000000"/>
          <w:kern w:val="0"/>
          <w:sz w:val="44"/>
          <w:szCs w:val="44"/>
        </w:rPr>
        <w:t>枣庄</w:t>
      </w:r>
      <w:r w:rsidRPr="0061478C">
        <w:rPr>
          <w:rFonts w:ascii="宋体" w:hAnsi="宋体" w:cs="宋体" w:hint="eastAsia"/>
          <w:b/>
          <w:color w:val="000000"/>
          <w:kern w:val="0"/>
          <w:sz w:val="44"/>
          <w:szCs w:val="44"/>
        </w:rPr>
        <w:t>市税务局关于水泥生产企业石灰石原矿计征资源税有关问题的公告</w:t>
      </w:r>
      <w:r w:rsidR="004741EA">
        <w:rPr>
          <w:rFonts w:ascii="宋体" w:hAnsi="宋体" w:cs="宋体" w:hint="eastAsia"/>
          <w:b/>
          <w:color w:val="000000"/>
          <w:kern w:val="0"/>
          <w:sz w:val="44"/>
          <w:szCs w:val="44"/>
        </w:rPr>
        <w:t>(征求意见稿)</w:t>
      </w:r>
      <w:r w:rsidRPr="0061478C">
        <w:rPr>
          <w:rFonts w:ascii="宋体" w:hAnsi="宋体" w:hint="eastAsia"/>
          <w:b/>
          <w:color w:val="000000"/>
          <w:sz w:val="44"/>
          <w:szCs w:val="44"/>
        </w:rPr>
        <w:t>》</w:t>
      </w:r>
    </w:p>
    <w:p w:rsidR="005E446D" w:rsidRPr="004741EA" w:rsidRDefault="005E446D" w:rsidP="004741EA">
      <w:pPr>
        <w:widowControl/>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spacing w:line="360" w:lineRule="auto"/>
        <w:jc w:val="center"/>
        <w:rPr>
          <w:rFonts w:ascii="宋体" w:hAnsi="宋体"/>
          <w:b/>
          <w:color w:val="000000"/>
          <w:sz w:val="44"/>
          <w:szCs w:val="44"/>
        </w:rPr>
      </w:pPr>
      <w:r w:rsidRPr="0061478C">
        <w:rPr>
          <w:rFonts w:ascii="宋体" w:hAnsi="宋体" w:hint="eastAsia"/>
          <w:b/>
          <w:color w:val="000000"/>
          <w:sz w:val="44"/>
          <w:szCs w:val="44"/>
        </w:rPr>
        <w:t>的政策解读</w:t>
      </w:r>
    </w:p>
    <w:p w:rsidR="005E446D" w:rsidRDefault="005E446D" w:rsidP="005E446D">
      <w:pPr>
        <w:pStyle w:val="p0"/>
        <w:spacing w:before="0" w:beforeAutospacing="0" w:after="0" w:afterAutospacing="0" w:line="360" w:lineRule="auto"/>
        <w:rPr>
          <w:rFonts w:ascii="Verdana" w:hAnsi="Verdana"/>
          <w:color w:val="000000"/>
          <w:sz w:val="21"/>
          <w:szCs w:val="21"/>
        </w:rPr>
      </w:pPr>
      <w:r>
        <w:rPr>
          <w:rFonts w:ascii="Verdana" w:hAnsi="Verdana"/>
          <w:color w:val="000000"/>
          <w:sz w:val="21"/>
          <w:szCs w:val="21"/>
        </w:rPr>
        <w:t> </w:t>
      </w:r>
    </w:p>
    <w:p w:rsidR="005E446D" w:rsidRPr="003F4168" w:rsidRDefault="005E446D" w:rsidP="005E446D">
      <w:pPr>
        <w:pStyle w:val="p17"/>
        <w:snapToGrid w:val="0"/>
        <w:spacing w:before="0" w:beforeAutospacing="0" w:after="0" w:afterAutospacing="0" w:line="360" w:lineRule="auto"/>
        <w:ind w:firstLine="640"/>
        <w:rPr>
          <w:rFonts w:ascii="黑体" w:eastAsia="黑体" w:hAnsi="黑体"/>
          <w:color w:val="000000"/>
          <w:sz w:val="21"/>
          <w:szCs w:val="21"/>
        </w:rPr>
      </w:pPr>
      <w:r w:rsidRPr="003F4168">
        <w:rPr>
          <w:rFonts w:ascii="黑体" w:eastAsia="黑体" w:hAnsi="黑体" w:hint="eastAsia"/>
          <w:bCs/>
          <w:color w:val="000000"/>
          <w:sz w:val="32"/>
          <w:szCs w:val="32"/>
        </w:rPr>
        <w:t>一、《公告》起草的背景</w:t>
      </w:r>
    </w:p>
    <w:p w:rsidR="005E446D" w:rsidRPr="003F4168" w:rsidRDefault="005E446D" w:rsidP="005E446D">
      <w:pPr>
        <w:pStyle w:val="p17"/>
        <w:snapToGrid w:val="0"/>
        <w:spacing w:before="0" w:beforeAutospacing="0" w:after="0" w:afterAutospacing="0" w:line="360" w:lineRule="auto"/>
        <w:ind w:firstLine="640"/>
        <w:rPr>
          <w:rFonts w:ascii="仿宋" w:eastAsia="仿宋" w:hAnsi="仿宋"/>
          <w:color w:val="000000"/>
          <w:sz w:val="21"/>
          <w:szCs w:val="21"/>
        </w:rPr>
      </w:pPr>
      <w:smartTag w:uri="urn:schemas-microsoft-com:office:smarttags" w:element="chsdate">
        <w:smartTagPr>
          <w:attr w:name="IsROCDate" w:val="False"/>
          <w:attr w:name="IsLunarDate" w:val="False"/>
          <w:attr w:name="Day" w:val="1"/>
          <w:attr w:name="Month" w:val="7"/>
          <w:attr w:name="Year" w:val="2016"/>
        </w:smartTagPr>
        <w:r w:rsidRPr="003F4168">
          <w:rPr>
            <w:rFonts w:ascii="仿宋" w:eastAsia="仿宋" w:hAnsi="仿宋" w:hint="eastAsia"/>
            <w:color w:val="000000"/>
            <w:sz w:val="32"/>
            <w:szCs w:val="32"/>
          </w:rPr>
          <w:t>2016年7月1日</w:t>
        </w:r>
      </w:smartTag>
      <w:r w:rsidRPr="003F4168">
        <w:rPr>
          <w:rFonts w:ascii="仿宋" w:eastAsia="仿宋" w:hAnsi="仿宋" w:hint="eastAsia"/>
          <w:color w:val="000000"/>
          <w:sz w:val="32"/>
          <w:szCs w:val="32"/>
        </w:rPr>
        <w:t>开始，</w:t>
      </w:r>
      <w:r>
        <w:rPr>
          <w:rFonts w:ascii="仿宋" w:eastAsia="仿宋" w:hAnsi="仿宋" w:hint="eastAsia"/>
          <w:color w:val="000000"/>
          <w:sz w:val="32"/>
          <w:szCs w:val="32"/>
        </w:rPr>
        <w:t>石灰石</w:t>
      </w:r>
      <w:r w:rsidRPr="003F4168">
        <w:rPr>
          <w:rFonts w:ascii="仿宋" w:eastAsia="仿宋" w:hAnsi="仿宋" w:hint="eastAsia"/>
          <w:color w:val="000000"/>
          <w:sz w:val="32"/>
          <w:szCs w:val="32"/>
        </w:rPr>
        <w:t>资源税由从量计征改为从价计征，从价计征资源</w:t>
      </w:r>
      <w:proofErr w:type="gramStart"/>
      <w:r w:rsidRPr="003F4168">
        <w:rPr>
          <w:rFonts w:ascii="仿宋" w:eastAsia="仿宋" w:hAnsi="仿宋" w:hint="eastAsia"/>
          <w:color w:val="000000"/>
          <w:sz w:val="32"/>
          <w:szCs w:val="32"/>
        </w:rPr>
        <w:t>税需要</w:t>
      </w:r>
      <w:proofErr w:type="gramEnd"/>
      <w:r w:rsidRPr="003F4168">
        <w:rPr>
          <w:rFonts w:ascii="仿宋" w:eastAsia="仿宋" w:hAnsi="仿宋" w:hint="eastAsia"/>
          <w:color w:val="000000"/>
          <w:sz w:val="32"/>
          <w:szCs w:val="32"/>
        </w:rPr>
        <w:t>一个关键因素即矿产品的价格，对于绝大多数矿产品要么企业自身有销售价格，要么有可以参考的本地市场价格，但对于石灰石，大部分石灰石矿都是水泥企业自产自用无市场价格，且每个矿资源禀赋不同，矿与矿之间距离远，价格无法相互参照，导致水泥企业自产自用的石灰石资源税征收存在一定困难。经过调查并听取各方面意见后，</w:t>
      </w:r>
      <w:r>
        <w:rPr>
          <w:rFonts w:ascii="仿宋" w:eastAsia="仿宋" w:hAnsi="仿宋" w:hint="eastAsia"/>
          <w:color w:val="000000"/>
          <w:sz w:val="32"/>
          <w:szCs w:val="32"/>
        </w:rPr>
        <w:t>我局</w:t>
      </w:r>
      <w:r w:rsidRPr="003F4168">
        <w:rPr>
          <w:rFonts w:ascii="仿宋" w:eastAsia="仿宋" w:hAnsi="仿宋" w:hint="eastAsia"/>
          <w:color w:val="000000"/>
          <w:sz w:val="32"/>
          <w:szCs w:val="32"/>
        </w:rPr>
        <w:t>起草了《</w:t>
      </w:r>
      <w:r>
        <w:rPr>
          <w:rFonts w:ascii="仿宋" w:eastAsia="仿宋" w:hAnsi="仿宋" w:hint="eastAsia"/>
          <w:color w:val="000000"/>
          <w:sz w:val="32"/>
          <w:szCs w:val="32"/>
        </w:rPr>
        <w:t>枣庄市</w:t>
      </w:r>
      <w:r w:rsidRPr="003F4168">
        <w:rPr>
          <w:rFonts w:ascii="仿宋" w:eastAsia="仿宋" w:hAnsi="仿宋" w:hint="eastAsia"/>
          <w:color w:val="000000"/>
          <w:sz w:val="32"/>
          <w:szCs w:val="32"/>
        </w:rPr>
        <w:t>税务局关于水泥生产企业石灰石原矿计征资源税有关问题的公告》，目的是明确自采自用石灰石计税依据，公平企业税收负担，体现资源税从价计征的改革目标，使得</w:t>
      </w:r>
      <w:proofErr w:type="gramStart"/>
      <w:r w:rsidRPr="003F4168">
        <w:rPr>
          <w:rFonts w:ascii="仿宋" w:eastAsia="仿宋" w:hAnsi="仿宋" w:hint="eastAsia"/>
          <w:color w:val="000000"/>
          <w:sz w:val="32"/>
          <w:szCs w:val="32"/>
        </w:rPr>
        <w:t>资源税随水泥</w:t>
      </w:r>
      <w:proofErr w:type="gramEnd"/>
      <w:r w:rsidR="000A2966">
        <w:rPr>
          <w:rFonts w:ascii="仿宋" w:eastAsia="仿宋" w:hAnsi="仿宋" w:hint="eastAsia"/>
          <w:color w:val="000000"/>
          <w:sz w:val="32"/>
          <w:szCs w:val="32"/>
        </w:rPr>
        <w:t>(熟料)</w:t>
      </w:r>
      <w:r w:rsidRPr="003F4168">
        <w:rPr>
          <w:rFonts w:ascii="仿宋" w:eastAsia="仿宋" w:hAnsi="仿宋" w:hint="eastAsia"/>
          <w:color w:val="000000"/>
          <w:sz w:val="32"/>
          <w:szCs w:val="32"/>
        </w:rPr>
        <w:t>价格涨落而起伏。</w:t>
      </w:r>
    </w:p>
    <w:p w:rsidR="005E446D" w:rsidRPr="003F4168" w:rsidRDefault="005E446D" w:rsidP="005E446D">
      <w:pPr>
        <w:pStyle w:val="p17"/>
        <w:snapToGrid w:val="0"/>
        <w:spacing w:before="0" w:beforeAutospacing="0" w:after="0" w:afterAutospacing="0" w:line="360" w:lineRule="auto"/>
        <w:ind w:firstLine="640"/>
        <w:rPr>
          <w:rFonts w:ascii="黑体" w:eastAsia="黑体" w:hAnsi="黑体"/>
          <w:bCs/>
          <w:color w:val="000000"/>
          <w:sz w:val="32"/>
          <w:szCs w:val="32"/>
        </w:rPr>
      </w:pPr>
      <w:r w:rsidRPr="003F4168">
        <w:rPr>
          <w:rFonts w:ascii="黑体" w:eastAsia="黑体" w:hAnsi="黑体" w:hint="eastAsia"/>
          <w:bCs/>
          <w:color w:val="000000"/>
          <w:sz w:val="32"/>
          <w:szCs w:val="32"/>
        </w:rPr>
        <w:t>二、公告的主要内容</w:t>
      </w:r>
    </w:p>
    <w:p w:rsidR="005E446D" w:rsidRPr="003F4168" w:rsidRDefault="005E446D" w:rsidP="005E446D">
      <w:pPr>
        <w:pStyle w:val="p0"/>
        <w:spacing w:before="0" w:beforeAutospacing="0" w:after="0" w:afterAutospacing="0" w:line="390" w:lineRule="atLeast"/>
        <w:rPr>
          <w:rFonts w:ascii="仿宋" w:eastAsia="仿宋" w:hAnsi="仿宋"/>
          <w:color w:val="000000"/>
          <w:sz w:val="21"/>
          <w:szCs w:val="21"/>
        </w:rPr>
      </w:pPr>
      <w:r w:rsidRPr="003F4168">
        <w:rPr>
          <w:rFonts w:ascii="仿宋" w:eastAsia="仿宋" w:hAnsi="仿宋" w:hint="eastAsia"/>
          <w:color w:val="000000"/>
          <w:sz w:val="32"/>
          <w:szCs w:val="32"/>
        </w:rPr>
        <w:t xml:space="preserve">    一是明确石灰石开采成本的构成。企业自采石灰石开采成本为石灰石离开矿山前所发生的所有成本费用，公告进行了列举；企业将矿山开采权外包给第三方的，合同约定的承包费中剔除从坑口到水泥生产企业的运输费后的金额，为石灰石的开采成本。明确离开坑口后的运输费用不计入成本费用。</w:t>
      </w:r>
    </w:p>
    <w:p w:rsidR="005E446D" w:rsidRPr="003F4168" w:rsidRDefault="005E446D" w:rsidP="005E446D">
      <w:pPr>
        <w:pStyle w:val="p0"/>
        <w:spacing w:before="0" w:beforeAutospacing="0" w:after="0" w:afterAutospacing="0" w:line="390" w:lineRule="atLeast"/>
        <w:rPr>
          <w:rFonts w:ascii="仿宋" w:eastAsia="仿宋" w:hAnsi="仿宋"/>
          <w:color w:val="000000"/>
          <w:sz w:val="21"/>
          <w:szCs w:val="21"/>
        </w:rPr>
      </w:pPr>
      <w:r w:rsidRPr="003F4168">
        <w:rPr>
          <w:rFonts w:ascii="仿宋" w:eastAsia="仿宋" w:hAnsi="仿宋" w:hint="eastAsia"/>
          <w:color w:val="000000"/>
          <w:sz w:val="32"/>
          <w:szCs w:val="32"/>
        </w:rPr>
        <w:lastRenderedPageBreak/>
        <w:t xml:space="preserve">    二是明确石灰石资源税计税价格。规定石灰石资源税计税价格＝水泥</w:t>
      </w:r>
      <w:r w:rsidR="000A2966">
        <w:rPr>
          <w:rFonts w:ascii="仿宋" w:eastAsia="仿宋" w:hAnsi="仿宋" w:hint="eastAsia"/>
          <w:color w:val="000000"/>
          <w:sz w:val="32"/>
          <w:szCs w:val="32"/>
        </w:rPr>
        <w:t>(熟料)</w:t>
      </w:r>
      <w:r w:rsidRPr="003F4168">
        <w:rPr>
          <w:rFonts w:ascii="仿宋" w:eastAsia="仿宋" w:hAnsi="仿宋" w:hint="eastAsia"/>
          <w:color w:val="000000"/>
          <w:sz w:val="32"/>
          <w:szCs w:val="32"/>
        </w:rPr>
        <w:t>销售价格（元/吨）×石灰石开采成本占水泥</w:t>
      </w:r>
      <w:r w:rsidR="000A2966">
        <w:rPr>
          <w:rFonts w:ascii="仿宋" w:eastAsia="仿宋" w:hAnsi="仿宋" w:hint="eastAsia"/>
          <w:color w:val="000000"/>
          <w:sz w:val="32"/>
          <w:szCs w:val="32"/>
        </w:rPr>
        <w:t>(熟料)</w:t>
      </w:r>
      <w:r w:rsidRPr="003F4168">
        <w:rPr>
          <w:rFonts w:ascii="仿宋" w:eastAsia="仿宋" w:hAnsi="仿宋" w:hint="eastAsia"/>
          <w:color w:val="000000"/>
          <w:sz w:val="32"/>
          <w:szCs w:val="32"/>
        </w:rPr>
        <w:t>销售成本的比例; 石灰石开采成本占水泥</w:t>
      </w:r>
      <w:r w:rsidR="000A2966">
        <w:rPr>
          <w:rFonts w:ascii="仿宋" w:eastAsia="仿宋" w:hAnsi="仿宋" w:hint="eastAsia"/>
          <w:color w:val="000000"/>
          <w:sz w:val="32"/>
          <w:szCs w:val="32"/>
        </w:rPr>
        <w:t>(熟料)</w:t>
      </w:r>
      <w:r w:rsidRPr="003F4168">
        <w:rPr>
          <w:rFonts w:ascii="仿宋" w:eastAsia="仿宋" w:hAnsi="仿宋" w:hint="eastAsia"/>
          <w:color w:val="000000"/>
          <w:sz w:val="32"/>
          <w:szCs w:val="32"/>
        </w:rPr>
        <w:t>销售成本的比例＝每吨水泥</w:t>
      </w:r>
      <w:r w:rsidR="0048088A">
        <w:rPr>
          <w:rFonts w:ascii="仿宋" w:eastAsia="仿宋" w:hAnsi="仿宋" w:hint="eastAsia"/>
          <w:color w:val="000000"/>
          <w:sz w:val="32"/>
          <w:szCs w:val="32"/>
        </w:rPr>
        <w:t>(熟料)</w:t>
      </w:r>
      <w:r w:rsidRPr="003F4168">
        <w:rPr>
          <w:rFonts w:ascii="仿宋" w:eastAsia="仿宋" w:hAnsi="仿宋" w:hint="eastAsia"/>
          <w:color w:val="000000"/>
          <w:sz w:val="32"/>
          <w:szCs w:val="32"/>
        </w:rPr>
        <w:t>消耗石灰石开采成本÷每吨水泥</w:t>
      </w:r>
      <w:r w:rsidR="000A2966">
        <w:rPr>
          <w:rFonts w:ascii="仿宋" w:eastAsia="仿宋" w:hAnsi="仿宋" w:hint="eastAsia"/>
          <w:color w:val="000000"/>
          <w:sz w:val="32"/>
          <w:szCs w:val="32"/>
        </w:rPr>
        <w:t>(熟料)</w:t>
      </w:r>
      <w:r w:rsidRPr="003F4168">
        <w:rPr>
          <w:rFonts w:ascii="仿宋" w:eastAsia="仿宋" w:hAnsi="仿宋" w:hint="eastAsia"/>
          <w:color w:val="000000"/>
          <w:sz w:val="32"/>
          <w:szCs w:val="32"/>
        </w:rPr>
        <w:t>销售成本×100%。明确了水泥销售价格按照加权平均价格计算，水泥销售价格不包括水泥从生产厂方运往购买方的运费，并对如何扣除运费做了规定。</w:t>
      </w:r>
    </w:p>
    <w:p w:rsidR="005E446D" w:rsidRPr="003F4168" w:rsidRDefault="005E446D" w:rsidP="005E446D">
      <w:pPr>
        <w:widowControl/>
        <w:ind w:firstLine="576"/>
        <w:jc w:val="left"/>
        <w:rPr>
          <w:rFonts w:ascii="仿宋" w:eastAsia="仿宋" w:hAnsi="仿宋"/>
          <w:color w:val="000000"/>
          <w:sz w:val="32"/>
          <w:szCs w:val="32"/>
        </w:rPr>
      </w:pPr>
      <w:r w:rsidRPr="003F4168">
        <w:rPr>
          <w:rFonts w:ascii="仿宋" w:eastAsia="仿宋" w:hAnsi="仿宋" w:hint="eastAsia"/>
          <w:color w:val="000000"/>
          <w:sz w:val="32"/>
          <w:szCs w:val="32"/>
        </w:rPr>
        <w:t xml:space="preserve"> 三是明确了水泥企业确定后经过备案的石灰石开采成本占水泥</w:t>
      </w:r>
      <w:r w:rsidR="000A2966">
        <w:rPr>
          <w:rFonts w:ascii="仿宋" w:eastAsia="仿宋" w:hAnsi="仿宋" w:cs="宋体" w:hint="eastAsia"/>
          <w:color w:val="000000"/>
          <w:kern w:val="0"/>
          <w:sz w:val="32"/>
          <w:szCs w:val="32"/>
        </w:rPr>
        <w:t>(熟料)</w:t>
      </w:r>
      <w:r w:rsidRPr="003F4168">
        <w:rPr>
          <w:rFonts w:ascii="仿宋" w:eastAsia="仿宋" w:hAnsi="仿宋" w:hint="eastAsia"/>
          <w:color w:val="000000"/>
          <w:sz w:val="32"/>
          <w:szCs w:val="32"/>
        </w:rPr>
        <w:t>销售成本的比例，一经确定，一年内不得变更。</w:t>
      </w:r>
      <w:r>
        <w:rPr>
          <w:rFonts w:ascii="仿宋" w:eastAsia="仿宋" w:hAnsi="仿宋" w:hint="eastAsia"/>
          <w:color w:val="000000"/>
          <w:sz w:val="32"/>
          <w:szCs w:val="32"/>
        </w:rPr>
        <w:t>同时明确了</w:t>
      </w:r>
      <w:r w:rsidRPr="003F4168">
        <w:rPr>
          <w:rFonts w:ascii="仿宋" w:eastAsia="仿宋" w:hAnsi="仿宋" w:hint="eastAsia"/>
          <w:color w:val="000000"/>
          <w:sz w:val="32"/>
          <w:szCs w:val="32"/>
        </w:rPr>
        <w:t>水泥生产企业自采自用石灰石加工骨料销售，骨料销售应缴的资源税=骨料的销售收入×石灰石资源税税率（</w:t>
      </w:r>
      <w:r w:rsidRPr="003F4168">
        <w:rPr>
          <w:rFonts w:ascii="仿宋" w:eastAsia="仿宋" w:hAnsi="仿宋"/>
          <w:color w:val="000000"/>
          <w:sz w:val="32"/>
          <w:szCs w:val="32"/>
        </w:rPr>
        <w:t>6%</w:t>
      </w:r>
      <w:r w:rsidRPr="003F4168">
        <w:rPr>
          <w:rFonts w:ascii="仿宋" w:eastAsia="仿宋" w:hAnsi="仿宋" w:hint="eastAsia"/>
          <w:color w:val="000000"/>
          <w:sz w:val="32"/>
          <w:szCs w:val="32"/>
        </w:rPr>
        <w:t>）。</w:t>
      </w:r>
    </w:p>
    <w:p w:rsidR="005E446D" w:rsidRPr="003F4168" w:rsidRDefault="005E446D" w:rsidP="005E446D">
      <w:pPr>
        <w:pStyle w:val="p0"/>
        <w:spacing w:before="0" w:beforeAutospacing="0" w:after="0" w:afterAutospacing="0" w:line="390" w:lineRule="atLeast"/>
        <w:rPr>
          <w:rFonts w:ascii="仿宋" w:eastAsia="仿宋" w:hAnsi="仿宋"/>
          <w:color w:val="000000"/>
          <w:sz w:val="21"/>
          <w:szCs w:val="21"/>
        </w:rPr>
      </w:pPr>
    </w:p>
    <w:p w:rsidR="005E446D" w:rsidRPr="003F4168" w:rsidRDefault="005E446D" w:rsidP="005E446D">
      <w:pPr>
        <w:adjustRightInd w:val="0"/>
        <w:snapToGrid w:val="0"/>
        <w:spacing w:line="360" w:lineRule="auto"/>
        <w:rPr>
          <w:rFonts w:ascii="仿宋" w:eastAsia="仿宋" w:hAnsi="仿宋"/>
          <w:snapToGrid w:val="0"/>
          <w:kern w:val="0"/>
          <w:sz w:val="28"/>
          <w:szCs w:val="28"/>
        </w:rPr>
      </w:pPr>
    </w:p>
    <w:p w:rsidR="00177427" w:rsidRDefault="00177427"/>
    <w:p w:rsidR="00741D16" w:rsidRDefault="00741D16"/>
    <w:p w:rsidR="00741D16" w:rsidRPr="005E446D" w:rsidRDefault="00741D16"/>
    <w:sectPr w:rsidR="00741D16" w:rsidRPr="005E446D" w:rsidSect="00F02C50">
      <w:pgSz w:w="11906" w:h="16838"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BA4" w:rsidRDefault="00404BA4" w:rsidP="005E446D">
      <w:r>
        <w:separator/>
      </w:r>
    </w:p>
  </w:endnote>
  <w:endnote w:type="continuationSeparator" w:id="0">
    <w:p w:rsidR="00404BA4" w:rsidRDefault="00404BA4" w:rsidP="005E44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BA4" w:rsidRDefault="00404BA4" w:rsidP="005E446D">
      <w:r>
        <w:separator/>
      </w:r>
    </w:p>
  </w:footnote>
  <w:footnote w:type="continuationSeparator" w:id="0">
    <w:p w:rsidR="00404BA4" w:rsidRDefault="00404BA4" w:rsidP="005E44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446D"/>
    <w:rsid w:val="000A2966"/>
    <w:rsid w:val="00177427"/>
    <w:rsid w:val="002C33E7"/>
    <w:rsid w:val="00404BA4"/>
    <w:rsid w:val="004741EA"/>
    <w:rsid w:val="0048088A"/>
    <w:rsid w:val="004B035B"/>
    <w:rsid w:val="004B6147"/>
    <w:rsid w:val="004E1156"/>
    <w:rsid w:val="005E446D"/>
    <w:rsid w:val="00741D16"/>
    <w:rsid w:val="009C5FD0"/>
    <w:rsid w:val="00B40813"/>
    <w:rsid w:val="00C06213"/>
    <w:rsid w:val="00C13BB2"/>
    <w:rsid w:val="00C52706"/>
    <w:rsid w:val="00F735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4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44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E446D"/>
    <w:rPr>
      <w:sz w:val="18"/>
      <w:szCs w:val="18"/>
    </w:rPr>
  </w:style>
  <w:style w:type="paragraph" w:styleId="a4">
    <w:name w:val="footer"/>
    <w:basedOn w:val="a"/>
    <w:link w:val="Char0"/>
    <w:uiPriority w:val="99"/>
    <w:semiHidden/>
    <w:unhideWhenUsed/>
    <w:rsid w:val="005E44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E446D"/>
    <w:rPr>
      <w:sz w:val="18"/>
      <w:szCs w:val="18"/>
    </w:rPr>
  </w:style>
  <w:style w:type="paragraph" w:customStyle="1" w:styleId="p0">
    <w:name w:val="p0"/>
    <w:basedOn w:val="a"/>
    <w:rsid w:val="005E446D"/>
    <w:pPr>
      <w:widowControl/>
      <w:spacing w:before="100" w:beforeAutospacing="1" w:after="100" w:afterAutospacing="1"/>
      <w:jc w:val="left"/>
    </w:pPr>
    <w:rPr>
      <w:rFonts w:ascii="宋体" w:hAnsi="宋体" w:cs="宋体"/>
      <w:kern w:val="0"/>
      <w:sz w:val="24"/>
    </w:rPr>
  </w:style>
  <w:style w:type="paragraph" w:customStyle="1" w:styleId="p17">
    <w:name w:val="p17"/>
    <w:basedOn w:val="a"/>
    <w:rsid w:val="005E446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徐晓曼</dc:creator>
  <cp:keywords/>
  <dc:description/>
  <cp:lastModifiedBy>徐晓曼</cp:lastModifiedBy>
  <cp:revision>8</cp:revision>
  <cp:lastPrinted>2019-11-05T01:43:00Z</cp:lastPrinted>
  <dcterms:created xsi:type="dcterms:W3CDTF">2019-11-05T01:40:00Z</dcterms:created>
  <dcterms:modified xsi:type="dcterms:W3CDTF">2019-11-07T08:14:00Z</dcterms:modified>
</cp:coreProperties>
</file>