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6" w:rsidRPr="002B180F" w:rsidRDefault="00D84D06" w:rsidP="002B180F">
      <w:pPr>
        <w:widowControl/>
        <w:shd w:val="clear" w:color="auto" w:fill="FFFFFF"/>
        <w:spacing w:line="378" w:lineRule="atLeast"/>
        <w:jc w:val="center"/>
        <w:rPr>
          <w:rFonts w:ascii="宋体" w:cs="Times New Roman"/>
          <w:color w:val="646464"/>
          <w:kern w:val="0"/>
        </w:rPr>
      </w:pPr>
      <w:r w:rsidRPr="002B180F">
        <w:rPr>
          <w:rFonts w:ascii="宋体" w:cs="Times New Roman"/>
          <w:b/>
          <w:bCs/>
          <w:color w:val="646464"/>
          <w:kern w:val="0"/>
          <w:sz w:val="36"/>
          <w:szCs w:val="36"/>
          <w:bdr w:val="none" w:sz="0" w:space="0" w:color="auto" w:frame="1"/>
        </w:rPr>
        <w:t> </w:t>
      </w:r>
    </w:p>
    <w:p w:rsidR="00D84D06" w:rsidRPr="002B180F" w:rsidRDefault="00D84D06" w:rsidP="002B180F">
      <w:pPr>
        <w:widowControl/>
        <w:shd w:val="clear" w:color="auto" w:fill="FFFFFF"/>
        <w:spacing w:line="378" w:lineRule="atLeast"/>
        <w:jc w:val="center"/>
        <w:rPr>
          <w:rFonts w:ascii="宋体" w:cs="Times New Roman"/>
          <w:color w:val="646464"/>
          <w:kern w:val="0"/>
        </w:rPr>
      </w:pPr>
      <w:r w:rsidRPr="002B180F">
        <w:rPr>
          <w:rFonts w:ascii="宋体" w:hAnsi="宋体" w:cs="宋体" w:hint="eastAsia"/>
          <w:b/>
          <w:bCs/>
          <w:color w:val="646464"/>
          <w:kern w:val="0"/>
          <w:sz w:val="36"/>
          <w:szCs w:val="36"/>
          <w:bdr w:val="none" w:sz="0" w:space="0" w:color="auto" w:frame="1"/>
        </w:rPr>
        <w:t>四川省会计师事务所综合评级办法</w:t>
      </w:r>
    </w:p>
    <w:p w:rsidR="00D84D06" w:rsidRPr="00993110" w:rsidRDefault="00D84D06" w:rsidP="002B180F">
      <w:pPr>
        <w:widowControl/>
        <w:shd w:val="clear" w:color="auto" w:fill="FFFFFF"/>
        <w:spacing w:line="378" w:lineRule="atLeast"/>
        <w:jc w:val="center"/>
        <w:rPr>
          <w:rFonts w:ascii="宋体" w:cs="Times New Roman"/>
          <w:color w:val="646464"/>
          <w:kern w:val="0"/>
          <w:sz w:val="36"/>
          <w:szCs w:val="36"/>
          <w:bdr w:val="none" w:sz="0" w:space="0" w:color="auto" w:frame="1"/>
        </w:rPr>
      </w:pPr>
      <w:r w:rsidRPr="002B180F">
        <w:rPr>
          <w:rFonts w:ascii="宋体" w:cs="Times New Roman"/>
          <w:color w:val="646464"/>
          <w:kern w:val="0"/>
          <w:sz w:val="30"/>
          <w:szCs w:val="30"/>
          <w:bdr w:val="none" w:sz="0" w:space="0" w:color="auto" w:frame="1"/>
        </w:rPr>
        <w:t> </w:t>
      </w:r>
      <w:r w:rsidRPr="00E80874">
        <w:rPr>
          <w:rFonts w:ascii="宋体" w:hAnsi="宋体" w:cs="宋体" w:hint="eastAsia"/>
          <w:color w:val="646464"/>
          <w:kern w:val="0"/>
          <w:sz w:val="36"/>
          <w:szCs w:val="36"/>
          <w:bdr w:val="none" w:sz="0" w:space="0" w:color="auto" w:frame="1"/>
        </w:rPr>
        <w:t>（征求意见稿）</w:t>
      </w:r>
    </w:p>
    <w:p w:rsidR="00D84D06" w:rsidRPr="002B180F" w:rsidRDefault="00D84D06" w:rsidP="002B180F">
      <w:pPr>
        <w:widowControl/>
        <w:shd w:val="clear" w:color="auto" w:fill="FFFFFF"/>
        <w:spacing w:line="378" w:lineRule="atLeast"/>
        <w:jc w:val="center"/>
        <w:rPr>
          <w:rFonts w:ascii="宋体" w:cs="Times New Roman"/>
          <w:color w:val="646464"/>
          <w:kern w:val="0"/>
        </w:rPr>
      </w:pP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第一条</w:t>
      </w:r>
      <w:r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为客观、科学反映与评价会计师事务所（以下简称事务所）综合实力，引导社会各界科学选聘事务所，促进事务所做强做大，不断提升服务国家建设的能力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,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特制定本办法。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第二条</w:t>
      </w:r>
      <w:r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四川省注册会计师协会（以下简称省注协）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以事务所填报的综合评价表为基础，结合协会日常工作中收集发现的相关信息，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组织开展事务所综合评级工作，公布事务所综合评级信息。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第三条</w:t>
      </w:r>
      <w:r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事务所综合评级每年进行一次。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第四条</w:t>
      </w:r>
      <w:r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综合评级的范围为我省会计师事务所（不含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在外省的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分支机构）及省外会计师事务所在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川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设立的分支机构。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我省会计师事务所省内分支机构纳入总所进行综合评级。</w:t>
      </w:r>
    </w:p>
    <w:p w:rsidR="00D84D06" w:rsidRPr="00650D55" w:rsidRDefault="00AB6875" w:rsidP="00AC628C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五</w:t>
      </w:r>
      <w:r w:rsidR="00D84D06"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650D55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 xml:space="preserve">  </w:t>
      </w:r>
      <w:r w:rsidR="00D84D06"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涉及合并、分立事项的事务所，于上年度</w:t>
      </w:r>
      <w:r w:rsidR="00D84D06" w:rsidRPr="00650D55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12</w:t>
      </w:r>
      <w:r w:rsidR="00D84D06"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月</w:t>
      </w:r>
      <w:r w:rsidR="00D84D06" w:rsidRPr="00650D55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31</w:t>
      </w:r>
      <w:r w:rsidR="00D84D06"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日前办结以下所有手续的，可以以合并、分立后的事务所参加综合评级：</w:t>
      </w:r>
    </w:p>
    <w:p w:rsidR="00D84D06" w:rsidRPr="00650D55" w:rsidRDefault="00D84D06" w:rsidP="00AC628C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（一）签订合并、分立协议，形成合并、分立相关会议决议及合伙人（股东）协议；</w:t>
      </w:r>
    </w:p>
    <w:p w:rsidR="00D84D06" w:rsidRPr="00650D55" w:rsidRDefault="00D84D06" w:rsidP="00AC628C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（二）完成主管部门批准变更相关执业证书、变更登记</w:t>
      </w:r>
      <w:r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lastRenderedPageBreak/>
        <w:t>手续和工商管理部门批准变更登记手续；</w:t>
      </w:r>
    </w:p>
    <w:p w:rsidR="00D84D06" w:rsidRPr="00650D55" w:rsidRDefault="00D84D06" w:rsidP="00AC628C">
      <w:pPr>
        <w:spacing w:line="360" w:lineRule="auto"/>
        <w:ind w:firstLineChars="200" w:firstLine="640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650D5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（三）完成合伙人（股东）退伙（退股）、注册会计师转所手续。</w:t>
      </w:r>
    </w:p>
    <w:p w:rsidR="005A7B37" w:rsidRDefault="00AB6875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E80874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六</w:t>
      </w:r>
      <w:r w:rsidR="00D84D06" w:rsidRPr="00E80874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　事务所应对综合评价表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填报</w:t>
      </w:r>
      <w:r w:rsidR="00D84D06" w:rsidRPr="00E80874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内容的真实性负责。</w:t>
      </w:r>
    </w:p>
    <w:p w:rsidR="005A7B37" w:rsidRDefault="00AB6875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七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综合评级工作按以下程序进行：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（一）发布年度综合评级工作通知；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（二）组织事务所填列综合评价指标体系；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（三）审核综合评价指标信息，开展综合评级；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（四）公示并受理举报事项；</w:t>
      </w:r>
      <w:r w:rsidDel="009A2F2E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 xml:space="preserve"> 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（五）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发布综合评级结果及综合评价得分前百名事务所评分信息。</w:t>
      </w:r>
    </w:p>
    <w:p w:rsidR="005A7B37" w:rsidRDefault="00AB6875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八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事务所综合评价指标包括：业务收入指标、注册会计师人数指标、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其他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评价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指标、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贡献和奖励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指标、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惩罚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和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警示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指标等五项指标。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（一）业务收入指标，是指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经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省注协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财务部确认的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事务所上一年度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业务收入。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（二）注册会计师人数指标，是指截至上一年度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12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月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31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日，事务所在中注协行业管理信息系统中登记的数据。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（三）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其他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综合评价指标，是指</w:t>
      </w:r>
      <w:r w:rsidR="00D0765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上报中注协的我省会计师事务所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综合评价</w:t>
      </w:r>
      <w:r w:rsidR="00D0765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指标体系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中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除了业务收入</w:t>
      </w:r>
      <w:r w:rsidR="00D0765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、注册会计师人数</w:t>
      </w:r>
      <w:r w:rsidR="00D0765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</w:t>
      </w:r>
      <w:r w:rsidR="00D0765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受奖励情况指标和受处罚情况指标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以外的指标，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lastRenderedPageBreak/>
        <w:t>主要涵盖事务所内部治理、执业质量、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人力资源、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信息技术和党群共建等</w:t>
      </w:r>
      <w:r w:rsidR="00D0765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相关信息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（四）</w:t>
      </w:r>
      <w:r w:rsidR="006C52A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社会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贡献和奖励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指标，是指上一年度事务所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及其注册会计师履行</w:t>
      </w:r>
      <w:r w:rsidR="006C52A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社会职责、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行业职责、担任行业职务</w:t>
      </w:r>
      <w:r w:rsidR="00672C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；以</w:t>
      </w:r>
      <w:r w:rsidR="006C52A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及</w:t>
      </w:r>
      <w:r w:rsidR="00672C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记入会员诚信档案管理的其他相关信息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等指标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（五）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惩罚和警示指标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，是指上一年度事务所及其注册会计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师因执业质量和职业道德问题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受到刑事处罚、行政处罚和行业惩戒的指标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；以及</w:t>
      </w:r>
      <w:r w:rsidR="006C52A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记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入会员诚信档案管理的其他相关信息等指标。</w:t>
      </w:r>
    </w:p>
    <w:p w:rsidR="005A7B37" w:rsidRDefault="00AB6875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九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事务所综合评价得分的计算公式如下：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综合评价得分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=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业务收入指标得分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+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注册会计师人数指标得分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+</w:t>
      </w:r>
      <w:r w:rsidR="00E275AC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其他</w:t>
      </w:r>
      <w:r w:rsidR="00E275AC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综合评价指标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+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社会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贡献和奖励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指标加分值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-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惩罚和警示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指标减分值。其中：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（一）业务收入指标得分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=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（事务所业务收入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/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参与评价的事务所收入平均值）×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50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（二）注册会计师人数指标得分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=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（事务所注册会计师人数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/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参与评价的事务所注册会计师人数平均值）×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10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（三）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其他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综合评价指标得分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=(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其他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综合评价指标得分之和／参与评价的事务所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其他综合评价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指标得分之和的平均值）×</w:t>
      </w:r>
      <w:r w:rsidR="00AB6875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4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0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（四）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社会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贡献和奖励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指标加分值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=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Σ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[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事务所和注册会计师社会贡献和奖励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具体加分项目次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数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（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人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数）×相关分值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]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lastRenderedPageBreak/>
        <w:t>（五）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惩罚和警示指标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减分值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=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Σ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[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事务所和注册会计师受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惩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罚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等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次数（人数）×相关分值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]</w:t>
      </w:r>
    </w:p>
    <w:p w:rsidR="005A7B37" w:rsidRDefault="00C01C82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十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事务所和注册会计师</w:t>
      </w:r>
      <w:r w:rsidR="008B471D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社会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贡献和奖励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指标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加分项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按照下列不同情况加分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：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1.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担任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人大代表、政协委员：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根据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担任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国家级、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省、市（州）、县（市、区）人大代表、政协委员人数，分别按每人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4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分、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分、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2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分、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分给所在事务所加分（同一个人按单项加分高值计分，不重复计分）。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2.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担任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监事、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理事：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根据担任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注协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监事、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理事的人数，分别按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监事、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常务理事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每人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2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理事每人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分给所在事务所加分（同一个人按单项加分高值计分，不重复计分）。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3.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担任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专业（门）委员会委员：根据担任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注协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专业（门）委员会委员人数，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分别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按每人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分给所在事务所加分（同一个人不重复计分）。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4.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担</w:t>
      </w:r>
      <w:r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任省注协继续教育培训讲师：根据担任省注协组织的上一年度继续教育培训讲师</w:t>
      </w:r>
      <w:r w:rsidR="00252A4B"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人（次）数</w:t>
      </w:r>
      <w:r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，按每人</w:t>
      </w:r>
      <w:r>
        <w:rPr>
          <w:rFonts w:ascii="仿宋_GB2312" w:eastAsia="仿宋_GB2312" w:cs="仿宋_GB2312"/>
          <w:color w:val="646464"/>
          <w:sz w:val="32"/>
          <w:szCs w:val="32"/>
          <w:bdr w:val="none" w:sz="0" w:space="0" w:color="auto" w:frame="1"/>
          <w:shd w:val="clear" w:color="auto" w:fill="FFFFFF"/>
        </w:rPr>
        <w:t>0.5</w:t>
      </w:r>
      <w:r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分给所在事务所加分；</w:t>
      </w:r>
      <w:r w:rsidR="003665F1"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单人</w:t>
      </w:r>
      <w:r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讲课次数为</w:t>
      </w:r>
      <w:r>
        <w:rPr>
          <w:rFonts w:ascii="仿宋_GB2312" w:eastAsia="仿宋_GB2312" w:cs="仿宋_GB2312"/>
          <w:color w:val="646464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次及以上的，按每人</w:t>
      </w:r>
      <w:r>
        <w:rPr>
          <w:rFonts w:ascii="仿宋_GB2312" w:eastAsia="仿宋_GB2312" w:cs="仿宋_GB2312"/>
          <w:color w:val="646464"/>
          <w:sz w:val="32"/>
          <w:szCs w:val="32"/>
          <w:bdr w:val="none" w:sz="0" w:space="0" w:color="auto" w:frame="1"/>
          <w:shd w:val="clear" w:color="auto" w:fill="FFFFFF"/>
        </w:rPr>
        <w:t>1</w:t>
      </w:r>
      <w:r>
        <w:rPr>
          <w:rFonts w:ascii="仿宋_GB2312" w:eastAsia="仿宋_GB2312" w:cs="仿宋_GB2312" w:hint="eastAsia"/>
          <w:color w:val="646464"/>
          <w:sz w:val="32"/>
          <w:szCs w:val="32"/>
          <w:shd w:val="clear" w:color="auto" w:fill="FFFFFF"/>
        </w:rPr>
        <w:t>分给所在事务所加分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5.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担任注协执业质量检查人员：根据担任注协组织的上一年度执业质量检查人员数，按每人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分给所在事务所加分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；事务所有多人次的，最高加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3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sz w:val="32"/>
          <w:szCs w:val="32"/>
          <w:bdr w:val="none" w:sz="0" w:space="0" w:color="auto" w:frame="1"/>
        </w:rPr>
      </w:pPr>
      <w:r w:rsidRPr="00FD2315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lastRenderedPageBreak/>
        <w:t>6.</w:t>
      </w:r>
      <w:r>
        <w:rPr>
          <w:rFonts w:ascii="仿宋_GB2312" w:eastAsia="仿宋_GB2312" w:hAnsi="宋体" w:cs="仿宋_GB2312" w:hint="eastAsia"/>
          <w:color w:val="646464"/>
          <w:sz w:val="32"/>
          <w:szCs w:val="32"/>
          <w:bdr w:val="none" w:sz="0" w:space="0" w:color="auto" w:frame="1"/>
        </w:rPr>
        <w:t>行业高端人才</w:t>
      </w:r>
      <w:r w:rsidRPr="00FD2315">
        <w:rPr>
          <w:rFonts w:ascii="仿宋_GB2312" w:eastAsia="仿宋_GB2312" w:hAnsi="宋体" w:cs="仿宋_GB2312" w:hint="eastAsia"/>
          <w:color w:val="646464"/>
          <w:sz w:val="32"/>
          <w:szCs w:val="32"/>
          <w:bdr w:val="none" w:sz="0" w:space="0" w:color="auto" w:frame="1"/>
        </w:rPr>
        <w:t>：</w:t>
      </w:r>
      <w:r>
        <w:rPr>
          <w:rFonts w:ascii="仿宋_GB2312" w:eastAsia="仿宋_GB2312" w:hAnsi="宋体" w:cs="仿宋_GB2312" w:hint="eastAsia"/>
          <w:color w:val="646464"/>
          <w:sz w:val="32"/>
          <w:szCs w:val="32"/>
          <w:bdr w:val="none" w:sz="0" w:space="0" w:color="auto" w:frame="1"/>
        </w:rPr>
        <w:t>按照已取得高端人才培养工程证书的高端人才人数，分别给所在事务所每人加</w:t>
      </w:r>
      <w:r>
        <w:rPr>
          <w:rFonts w:ascii="仿宋_GB2312" w:eastAsia="仿宋_GB2312" w:hAnsi="宋体" w:cs="仿宋_GB2312"/>
          <w:color w:val="646464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Ansi="宋体" w:cs="仿宋_GB2312" w:hint="eastAsia"/>
          <w:color w:val="646464"/>
          <w:sz w:val="32"/>
          <w:szCs w:val="32"/>
          <w:bdr w:val="none" w:sz="0" w:space="0" w:color="auto" w:frame="1"/>
        </w:rPr>
        <w:t>分；按照正在培养期间的高端人才培养对象人数，分别给所在事务所每人加</w:t>
      </w:r>
      <w:r>
        <w:rPr>
          <w:rFonts w:ascii="仿宋_GB2312" w:eastAsia="仿宋_GB2312" w:hAnsi="宋体" w:cs="仿宋_GB2312"/>
          <w:color w:val="646464"/>
          <w:sz w:val="32"/>
          <w:szCs w:val="32"/>
          <w:bdr w:val="none" w:sz="0" w:space="0" w:color="auto" w:frame="1"/>
        </w:rPr>
        <w:t>0.5</w:t>
      </w:r>
      <w:r>
        <w:rPr>
          <w:rFonts w:ascii="仿宋_GB2312" w:eastAsia="仿宋_GB2312" w:hAnsi="宋体" w:cs="仿宋_GB2312" w:hint="eastAsia"/>
          <w:color w:val="646464"/>
          <w:sz w:val="32"/>
          <w:szCs w:val="32"/>
          <w:bdr w:val="none" w:sz="0" w:space="0" w:color="auto" w:frame="1"/>
        </w:rPr>
        <w:t>分；行业高端人才有多人的，最高加</w:t>
      </w:r>
      <w:r>
        <w:rPr>
          <w:rFonts w:ascii="仿宋_GB2312" w:eastAsia="仿宋_GB2312" w:hAnsi="宋体" w:cs="仿宋_GB2312"/>
          <w:color w:val="646464"/>
          <w:sz w:val="32"/>
          <w:szCs w:val="32"/>
          <w:bdr w:val="none" w:sz="0" w:space="0" w:color="auto" w:frame="1"/>
        </w:rPr>
        <w:t>3</w:t>
      </w:r>
      <w:r>
        <w:rPr>
          <w:rFonts w:ascii="仿宋_GB2312" w:eastAsia="仿宋_GB2312" w:hAnsi="宋体" w:cs="仿宋_GB2312" w:hint="eastAsia"/>
          <w:color w:val="646464"/>
          <w:sz w:val="32"/>
          <w:szCs w:val="32"/>
          <w:bdr w:val="none" w:sz="0" w:space="0" w:color="auto" w:frame="1"/>
        </w:rPr>
        <w:t>分。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7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.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上一年度承担并完成省注协行业科研课题任务的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主研人员（每个课题不超过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人）中，按照课题负责人和其他主研人员，分别按每人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1.5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分给所在事务所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加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省注协组织的行业优秀科研成果评比二等奖以上（含二等奖）获得者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；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分别给予主要获奖作者（课题不超过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人，论文、专著不超过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2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人）所在事务所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分加分。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8.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省级行业岗位能手：根据省级行业岗位能手人数，按人次加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分；事务所有多人次的，最高加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</w:p>
    <w:p w:rsidR="005A7B37" w:rsidRDefault="00672C1D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9</w:t>
      </w:r>
      <w:r w:rsidR="00D84D06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.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对外提供慈善捐款与捐助，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1万元-10万元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的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，加1分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；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大于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10万元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的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加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2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</w:p>
    <w:p w:rsidR="00672C1D" w:rsidRPr="00672C1D" w:rsidRDefault="00672C1D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10.</w:t>
      </w:r>
      <w:r w:rsidR="00FB4A80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事务所或注册会计师</w:t>
      </w:r>
      <w:r w:rsidR="00AB687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对行业作出突出、重大贡献的，经省注协秘书处提议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给予</w:t>
      </w:r>
      <w:r w:rsidR="00FB4A80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事务所加分</w:t>
      </w:r>
      <w:r w:rsidR="0008147A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 w:rsidR="0053608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加分值另行确定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5A7B37" w:rsidRDefault="00FB4A80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一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事务所和注册会计师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惩罚和警示指标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减分项，按照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记入诚信档案的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不同种类减分：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.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在行政处罚中，事务所受到暂停业务处罚及与其他处罚并处的，一次减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分；单处警告、没收违法所得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罚款及以上三项或者两项处罚并处的，一次减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4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lastRenderedPageBreak/>
        <w:t>2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.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在行业惩戒中，事务所受到公开谴责的，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一次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分；受到通报批评的，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一次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4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分；受到训诫的，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一次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</w:t>
      </w: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</w:p>
    <w:p w:rsidR="005A7B37" w:rsidRDefault="00D84D06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</w:t>
      </w:r>
      <w:r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.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注册会计师受到吊销注册会计师证书的，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每人次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2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分；注册会计师受到其他行政处罚和行业惩戒的，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每人次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1</w:t>
      </w: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</w:p>
    <w:p w:rsidR="00D84D06" w:rsidRDefault="00D84D06" w:rsidP="007059CE">
      <w:pPr>
        <w:widowControl/>
        <w:shd w:val="clear" w:color="auto" w:fill="FFFFFF"/>
        <w:ind w:firstLine="723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4.</w:t>
      </w:r>
      <w:r w:rsidRPr="00CA7CF7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事务所注册会计师因执业问题受到刑事处罚的，减</w:t>
      </w:r>
      <w:r w:rsidRPr="00CA7CF7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</w:t>
      </w:r>
      <w:r w:rsidRPr="00CA7CF7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分。</w:t>
      </w:r>
    </w:p>
    <w:p w:rsidR="0008147A" w:rsidRPr="00672C1D" w:rsidRDefault="00FB4A80" w:rsidP="0008147A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5</w:t>
      </w:r>
      <w:r w:rsidR="0008147A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.</w:t>
      </w:r>
      <w:r w:rsidR="0008147A" w:rsidRPr="0008147A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事务所、注册会计师言行为给行业造成恶劣影响的，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经省注协秘书处提议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，给予事务所减分，</w:t>
      </w:r>
      <w:r w:rsidR="0008147A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减分值另行确定。</w:t>
      </w:r>
    </w:p>
    <w:p w:rsidR="005A7B37" w:rsidRDefault="00FB4A80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二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根据综合评价结果，开展事务所评级，将事务所分为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B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二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类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6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级，其中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类事务所分为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5A、4A\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3A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2A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、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1A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五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个级别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 w:rsidR="00D84D06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B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类事务所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一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个级别。</w:t>
      </w:r>
    </w:p>
    <w:p w:rsidR="005A7B37" w:rsidRDefault="00FB4A80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三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事务所按照综合评价得分和排名情况进行分级，排名全省前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50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名为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5</w:t>
      </w:r>
      <w:r w:rsidR="003665F1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级，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51-100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名为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4</w:t>
      </w:r>
      <w:r w:rsidR="003665F1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级，</w:t>
      </w:r>
      <w:r w:rsidR="00D84D06" w:rsidRPr="002B180F" w:rsidDel="008C25A2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 xml:space="preserve"> </w:t>
      </w:r>
      <w:r w:rsidR="00D84D06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101-</w:t>
      </w:r>
      <w:r w:rsidR="00D84D06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200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名为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3</w:t>
      </w:r>
      <w:r w:rsidR="003665F1" w:rsidRPr="002B180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>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级，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201-350名为2A级，350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名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以后为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A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级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不参加综合评级的事务所，直接定为B级。</w:t>
      </w:r>
    </w:p>
    <w:p w:rsidR="005A7B37" w:rsidRDefault="00FB4A80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四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受到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暂停执业、公开谴责、通报批评三种处罚或惩戒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情形之一的，在评级中直接定为</w:t>
      </w:r>
      <w:r w:rsidR="003665F1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B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级。</w:t>
      </w:r>
    </w:p>
    <w:p w:rsidR="0072407F" w:rsidRDefault="00FB4A80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五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 xml:space="preserve">  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事务所及其从业人员因违反《四川省注册会计师行业诚信自律公约》受到降级处理的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在评级中直接下调一个级次。</w:t>
      </w:r>
    </w:p>
    <w:p w:rsidR="005A7B37" w:rsidRDefault="00FB4A80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lastRenderedPageBreak/>
        <w:t>第十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六</w:t>
      </w:r>
      <w:r w:rsidR="0072407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72407F">
        <w:rPr>
          <w:rFonts w:ascii="仿宋_GB2312" w:eastAsia="仿宋_GB2312" w:hAnsi="宋体" w:cs="仿宋_GB2312"/>
          <w:color w:val="646464"/>
          <w:kern w:val="0"/>
          <w:sz w:val="32"/>
          <w:szCs w:val="32"/>
          <w:bdr w:val="none" w:sz="0" w:space="0" w:color="auto" w:frame="1"/>
        </w:rPr>
        <w:t xml:space="preserve">  </w:t>
      </w:r>
      <w:r w:rsidR="0072407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注册会计师</w:t>
      </w:r>
      <w:r w:rsidR="0024412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有加分项的，在原所按相关规定加分；注册会计师受处罚后</w:t>
      </w:r>
      <w:r w:rsidR="00556B1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转所的</w:t>
      </w:r>
      <w:r w:rsidR="0072407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</w:t>
      </w:r>
      <w:r w:rsidR="00556B1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在转入</w:t>
      </w:r>
      <w:r w:rsidR="0072407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事务所</w:t>
      </w:r>
      <w:r w:rsidR="00556B1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按相关规定减分</w:t>
      </w:r>
      <w:r w:rsidR="0072407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DA5BC9" w:rsidRDefault="00DA5BC9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 w:rsidR="00FB4A80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七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  事务所在综合评级工作中，</w:t>
      </w:r>
      <w:r w:rsidR="00556B1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弄虚作假，提供不实信息的，直接定为B级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5A7B37" w:rsidRDefault="00506988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</w:t>
      </w:r>
      <w:r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十</w:t>
      </w:r>
      <w:r w:rsidR="00FB4A80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八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本办法由四川省注册会计师协会</w:t>
      </w:r>
      <w:r w:rsidR="00556B15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秘书处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负责解释。</w:t>
      </w:r>
    </w:p>
    <w:p w:rsidR="005A7B37" w:rsidRDefault="00506988" w:rsidP="00AC628C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  <w:r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第十</w:t>
      </w:r>
      <w:r w:rsidR="00C366C3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九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条</w:t>
      </w:r>
      <w:r w:rsidR="00D84D06" w:rsidRPr="002B180F"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  <w:t> 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本办法自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发布之日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起施行</w:t>
      </w:r>
      <w:r w:rsidR="00D84D06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，原《</w:t>
      </w:r>
      <w:r w:rsidR="00D84D06" w:rsidRPr="00645EA9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四川省会计师事务所综合评级暂行办法》作废</w:t>
      </w:r>
      <w:r w:rsidR="00D84D06" w:rsidRPr="002B180F">
        <w:rPr>
          <w:rFonts w:ascii="仿宋_GB2312" w:eastAsia="仿宋_GB2312" w:hAnsi="宋体" w:cs="仿宋_GB2312" w:hint="eastAsia"/>
          <w:color w:val="646464"/>
          <w:kern w:val="0"/>
          <w:sz w:val="32"/>
          <w:szCs w:val="32"/>
          <w:bdr w:val="none" w:sz="0" w:space="0" w:color="auto" w:frame="1"/>
        </w:rPr>
        <w:t>。</w:t>
      </w:r>
    </w:p>
    <w:p w:rsidR="00D84D06" w:rsidRPr="00C366C3" w:rsidRDefault="00D84D06">
      <w:pPr>
        <w:rPr>
          <w:rFonts w:ascii="仿宋_GB2312" w:eastAsia="仿宋_GB2312" w:hAnsi="宋体" w:cs="Times New Roman"/>
          <w:color w:val="646464"/>
          <w:kern w:val="0"/>
          <w:sz w:val="32"/>
          <w:szCs w:val="32"/>
          <w:bdr w:val="none" w:sz="0" w:space="0" w:color="auto" w:frame="1"/>
        </w:rPr>
      </w:pPr>
    </w:p>
    <w:sectPr w:rsidR="00D84D06" w:rsidRPr="00C366C3" w:rsidSect="00D8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EA" w:rsidRDefault="00B42FEA" w:rsidP="00031E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2FEA" w:rsidRDefault="00B42FEA" w:rsidP="00031E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EA" w:rsidRDefault="00B42FEA" w:rsidP="00031E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2FEA" w:rsidRDefault="00B42FEA" w:rsidP="00031E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EE1"/>
    <w:rsid w:val="000113B9"/>
    <w:rsid w:val="00020947"/>
    <w:rsid w:val="00031EBC"/>
    <w:rsid w:val="00056264"/>
    <w:rsid w:val="000679D9"/>
    <w:rsid w:val="00077234"/>
    <w:rsid w:val="0008147A"/>
    <w:rsid w:val="00086B01"/>
    <w:rsid w:val="000A6A49"/>
    <w:rsid w:val="000C5948"/>
    <w:rsid w:val="000E4590"/>
    <w:rsid w:val="000F23E5"/>
    <w:rsid w:val="0010767C"/>
    <w:rsid w:val="00115CD3"/>
    <w:rsid w:val="0012152D"/>
    <w:rsid w:val="001248DF"/>
    <w:rsid w:val="00125422"/>
    <w:rsid w:val="0015603C"/>
    <w:rsid w:val="00174DB8"/>
    <w:rsid w:val="0018102C"/>
    <w:rsid w:val="001C008E"/>
    <w:rsid w:val="001C1212"/>
    <w:rsid w:val="001D79CD"/>
    <w:rsid w:val="001E2623"/>
    <w:rsid w:val="001F0E51"/>
    <w:rsid w:val="00201311"/>
    <w:rsid w:val="0021034E"/>
    <w:rsid w:val="00225DCD"/>
    <w:rsid w:val="00244129"/>
    <w:rsid w:val="00252A4B"/>
    <w:rsid w:val="002617BE"/>
    <w:rsid w:val="002912AE"/>
    <w:rsid w:val="00295D77"/>
    <w:rsid w:val="002B180F"/>
    <w:rsid w:val="002B52C8"/>
    <w:rsid w:val="002D7B60"/>
    <w:rsid w:val="00304C6D"/>
    <w:rsid w:val="00321FC2"/>
    <w:rsid w:val="003412D1"/>
    <w:rsid w:val="0036570E"/>
    <w:rsid w:val="003665F1"/>
    <w:rsid w:val="00375CEC"/>
    <w:rsid w:val="003777C2"/>
    <w:rsid w:val="003A75AD"/>
    <w:rsid w:val="003D4C64"/>
    <w:rsid w:val="003E068F"/>
    <w:rsid w:val="003E36D6"/>
    <w:rsid w:val="003E69AA"/>
    <w:rsid w:val="00405D14"/>
    <w:rsid w:val="0041478B"/>
    <w:rsid w:val="004407B3"/>
    <w:rsid w:val="00467180"/>
    <w:rsid w:val="00490289"/>
    <w:rsid w:val="00492BD9"/>
    <w:rsid w:val="004A2FE4"/>
    <w:rsid w:val="004F5E7F"/>
    <w:rsid w:val="005060AA"/>
    <w:rsid w:val="00506988"/>
    <w:rsid w:val="0051729B"/>
    <w:rsid w:val="00536081"/>
    <w:rsid w:val="00556B15"/>
    <w:rsid w:val="005725DE"/>
    <w:rsid w:val="0057295F"/>
    <w:rsid w:val="005732F3"/>
    <w:rsid w:val="00576F88"/>
    <w:rsid w:val="0058549C"/>
    <w:rsid w:val="00586587"/>
    <w:rsid w:val="00592A89"/>
    <w:rsid w:val="005A7B37"/>
    <w:rsid w:val="005C1EA3"/>
    <w:rsid w:val="005D07D7"/>
    <w:rsid w:val="005D3D53"/>
    <w:rsid w:val="006057D1"/>
    <w:rsid w:val="006339D9"/>
    <w:rsid w:val="00645EA9"/>
    <w:rsid w:val="00650D55"/>
    <w:rsid w:val="006560FF"/>
    <w:rsid w:val="00672C1D"/>
    <w:rsid w:val="0067571F"/>
    <w:rsid w:val="00695EE1"/>
    <w:rsid w:val="006960CA"/>
    <w:rsid w:val="0069614B"/>
    <w:rsid w:val="006C52AF"/>
    <w:rsid w:val="006F65E7"/>
    <w:rsid w:val="00702C06"/>
    <w:rsid w:val="007059CE"/>
    <w:rsid w:val="0072407F"/>
    <w:rsid w:val="00724FC0"/>
    <w:rsid w:val="00736E4F"/>
    <w:rsid w:val="00744CEF"/>
    <w:rsid w:val="00754F98"/>
    <w:rsid w:val="007F5C7B"/>
    <w:rsid w:val="007F7E7F"/>
    <w:rsid w:val="008224A2"/>
    <w:rsid w:val="00834D4A"/>
    <w:rsid w:val="00841295"/>
    <w:rsid w:val="00846AE6"/>
    <w:rsid w:val="00886F59"/>
    <w:rsid w:val="008A061E"/>
    <w:rsid w:val="008B03BF"/>
    <w:rsid w:val="008B03F4"/>
    <w:rsid w:val="008B18F6"/>
    <w:rsid w:val="008B471D"/>
    <w:rsid w:val="008C25A2"/>
    <w:rsid w:val="0090536C"/>
    <w:rsid w:val="00913F7E"/>
    <w:rsid w:val="009206C5"/>
    <w:rsid w:val="00922291"/>
    <w:rsid w:val="00935DF3"/>
    <w:rsid w:val="0093794F"/>
    <w:rsid w:val="0094110B"/>
    <w:rsid w:val="00944888"/>
    <w:rsid w:val="00971AA4"/>
    <w:rsid w:val="00993110"/>
    <w:rsid w:val="009A2F2E"/>
    <w:rsid w:val="009D2FB6"/>
    <w:rsid w:val="009E3F1F"/>
    <w:rsid w:val="009E7288"/>
    <w:rsid w:val="00A062AA"/>
    <w:rsid w:val="00A31399"/>
    <w:rsid w:val="00A44D9B"/>
    <w:rsid w:val="00A45809"/>
    <w:rsid w:val="00A610E2"/>
    <w:rsid w:val="00A73A9D"/>
    <w:rsid w:val="00AB6875"/>
    <w:rsid w:val="00AC628C"/>
    <w:rsid w:val="00B1455C"/>
    <w:rsid w:val="00B31DA5"/>
    <w:rsid w:val="00B40160"/>
    <w:rsid w:val="00B42FEA"/>
    <w:rsid w:val="00B46044"/>
    <w:rsid w:val="00B472FF"/>
    <w:rsid w:val="00B51D01"/>
    <w:rsid w:val="00BD379D"/>
    <w:rsid w:val="00BF0414"/>
    <w:rsid w:val="00C01C82"/>
    <w:rsid w:val="00C028DD"/>
    <w:rsid w:val="00C2659E"/>
    <w:rsid w:val="00C366C3"/>
    <w:rsid w:val="00C63B66"/>
    <w:rsid w:val="00C86527"/>
    <w:rsid w:val="00CA7CF7"/>
    <w:rsid w:val="00CD1BA2"/>
    <w:rsid w:val="00CF062F"/>
    <w:rsid w:val="00D00DF7"/>
    <w:rsid w:val="00D07659"/>
    <w:rsid w:val="00D341DE"/>
    <w:rsid w:val="00D434C0"/>
    <w:rsid w:val="00D56621"/>
    <w:rsid w:val="00D66D87"/>
    <w:rsid w:val="00D83BF8"/>
    <w:rsid w:val="00D83D47"/>
    <w:rsid w:val="00D84D06"/>
    <w:rsid w:val="00DA2CC9"/>
    <w:rsid w:val="00DA2EB6"/>
    <w:rsid w:val="00DA5BC9"/>
    <w:rsid w:val="00DD12B6"/>
    <w:rsid w:val="00DF5C5C"/>
    <w:rsid w:val="00E27335"/>
    <w:rsid w:val="00E275AC"/>
    <w:rsid w:val="00E471B0"/>
    <w:rsid w:val="00E7054D"/>
    <w:rsid w:val="00E80874"/>
    <w:rsid w:val="00E92272"/>
    <w:rsid w:val="00EA5DB3"/>
    <w:rsid w:val="00EB2DC4"/>
    <w:rsid w:val="00EC442A"/>
    <w:rsid w:val="00ED27F0"/>
    <w:rsid w:val="00ED6C31"/>
    <w:rsid w:val="00F02D9F"/>
    <w:rsid w:val="00F17205"/>
    <w:rsid w:val="00F2260A"/>
    <w:rsid w:val="00F5305E"/>
    <w:rsid w:val="00F63AE9"/>
    <w:rsid w:val="00F820C8"/>
    <w:rsid w:val="00F93B1B"/>
    <w:rsid w:val="00F94DA1"/>
    <w:rsid w:val="00F94F76"/>
    <w:rsid w:val="00FB4A80"/>
    <w:rsid w:val="00FD2315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3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3D4C6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3D4C64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99"/>
    <w:qFormat/>
    <w:rsid w:val="002B180F"/>
    <w:rPr>
      <w:b/>
      <w:bCs/>
    </w:rPr>
  </w:style>
  <w:style w:type="paragraph" w:styleId="a4">
    <w:name w:val="header"/>
    <w:basedOn w:val="a"/>
    <w:link w:val="Char"/>
    <w:uiPriority w:val="99"/>
    <w:semiHidden/>
    <w:rsid w:val="00031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31E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31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31E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31E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31EBC"/>
    <w:rPr>
      <w:sz w:val="18"/>
      <w:szCs w:val="18"/>
    </w:rPr>
  </w:style>
  <w:style w:type="paragraph" w:styleId="a7">
    <w:name w:val="List Paragraph"/>
    <w:basedOn w:val="a"/>
    <w:uiPriority w:val="99"/>
    <w:qFormat/>
    <w:rsid w:val="00B51D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Yangxm</cp:lastModifiedBy>
  <cp:revision>5</cp:revision>
  <cp:lastPrinted>2019-10-23T08:58:00Z</cp:lastPrinted>
  <dcterms:created xsi:type="dcterms:W3CDTF">2019-10-14T06:44:00Z</dcterms:created>
  <dcterms:modified xsi:type="dcterms:W3CDTF">2019-10-23T08:58:00Z</dcterms:modified>
</cp:coreProperties>
</file>