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6A" w:rsidRPr="00D4476A" w:rsidRDefault="00D4476A" w:rsidP="00D4476A">
      <w:pPr>
        <w:widowControl/>
        <w:shd w:val="clear" w:color="auto" w:fill="EFF2F6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D4476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关于《应收账款质押登记办法》修订情况的说明</w:t>
      </w:r>
    </w:p>
    <w:p w:rsidR="00D4476A" w:rsidRPr="00D4476A" w:rsidRDefault="00D4476A" w:rsidP="00D4476A">
      <w:pPr>
        <w:widowControl/>
        <w:shd w:val="clear" w:color="auto" w:fill="EFF2F6"/>
        <w:spacing w:line="63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4476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发布时间： 2019-</w:t>
      </w:r>
      <w:bookmarkStart w:id="0" w:name="_GoBack"/>
      <w:bookmarkEnd w:id="0"/>
      <w:r w:rsidRPr="00D4476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05-07 08:36      来源： 人民银行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为了适应近年来融资租赁等登记的发展，支持部分省市动产担保统一登记试点工作，更好地提供动产担保登记公示服务，现拟对《应收账款质押登记办法》进行修订，相关说明如下：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一、修订背景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根据《中华人民共和国物权法》第二百二十八条规定，中国人民银行于2007年颁布并于2017年修订的《应收账款质押登记办法》（中国人民银行令〔2017〕第3号，以下简称《办法》），较好地规范了应收账款质押和转让登记、查询活动。近年来，融资租赁、保证金质押、存货和</w:t>
      </w:r>
      <w:proofErr w:type="gramStart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仓单质</w:t>
      </w:r>
      <w:proofErr w:type="gramEnd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押等动产融资业务发展迅速，市场中对于建立高效便捷统一的动产担保制度，提升企业融资可获得性的需求强烈。此外，在优化我国营</w:t>
      </w:r>
      <w:proofErr w:type="gramStart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商环境</w:t>
      </w:r>
      <w:proofErr w:type="gramEnd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的背景下，为配合北京市、上海市等地开展动产担保统一登记试点工作，有必要对标世界银行营商环境评估中关于现代动产担保制度的要求，进一步优化现有配套制度。为此，中国人民银行启动了《办法》修订工作。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二、主要修订内容说明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（一）在《办法》附则中增加其他动产和权利担保交易登记的参照条款。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近年来，动产融资统一登记公示系统（以下简称登记系统）中融资租赁登记、保证金质</w:t>
      </w:r>
      <w:proofErr w:type="gramStart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押</w:t>
      </w:r>
      <w:proofErr w:type="gramEnd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登记等自发登记量增长迅速。2007年登记系统法定登记与自发登记的占比分别为90%和10%，而近12年后这一占比则变为23%和77%，自发登记在过去5年的年均增长率约为24%。此外，为配合北京市、上海市开展动产担保统一登记试点工作，登记系统中已新增“生产设备、原材料、半成品、产品抵押”登记和查询服务。为满足市场主体自发开展动产担保交易登记的需求，切合部分自发登记的效力已获得司法认可的情况，加强对上述各类登记行为的正面引导，有必要在《办法》附则中新增其他动产担保交易登记的参照条款。新增内容如下：一是增加在登记系统办理其他动产和权利担保登记的，参照《办法》规定执行条款；二是对《办法》所称动产和权利担保进行界定。（第三十四条）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（二）取消登记协议上传要求。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目前，法律对于动产担保登记行为达成合意的形式未做强制要求。取消登记协议</w:t>
      </w:r>
      <w:proofErr w:type="gramStart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上传既符合</w:t>
      </w:r>
      <w:proofErr w:type="gramEnd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当前登记系统的实际作法，也符合现代动产担保制度要求。因此本次修订删除《办法》第八条、第十条、第十六条关于当事人签署登记协议，并将登记协议作为登记附件提交登记系统的要求。此外还就有关条款的表述予以调整。（第八条、第十条、第十六条）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（三）下调登记期限。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为了更好地适应目前市场发展需要，</w:t>
      </w:r>
      <w:proofErr w:type="gramStart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满足账期较短</w:t>
      </w:r>
      <w:proofErr w:type="gramEnd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的普通贸易类应收账款融资，本次修订将《办法》第十二条初始登记期限最短6个月调整为最短1个月，以便市场主体根据业务开展情况，选择适合的登记期限。同时将《办法》第十三条展期登记按年计，调整为最短1个月，与登记期限设置保持一致。（第十二条、第十三条）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三、征求意见情况</w:t>
      </w:r>
    </w:p>
    <w:p w:rsidR="00D4476A" w:rsidRPr="00D4476A" w:rsidRDefault="00D4476A" w:rsidP="00D4476A">
      <w:pPr>
        <w:widowControl/>
        <w:spacing w:before="100" w:beforeAutospacing="1" w:after="100" w:afterAutospacing="1" w:line="40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在《办法》修订过程中，我们与最高人民法院进行了沟通，并分别组织开展了2次调研座谈会，有针对性地征求了行业协会、金融机构、法律和行业</w:t>
      </w:r>
      <w:proofErr w:type="gramStart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内专家</w:t>
      </w:r>
      <w:proofErr w:type="gramEnd"/>
      <w:r w:rsidRPr="00D4476A">
        <w:rPr>
          <w:rFonts w:ascii="宋体" w:eastAsia="宋体" w:hAnsi="宋体" w:cs="宋体" w:hint="eastAsia"/>
          <w:color w:val="000000"/>
          <w:kern w:val="0"/>
          <w:szCs w:val="21"/>
        </w:rPr>
        <w:t>学者的意见，对其提出的意见进行了采纳。</w:t>
      </w:r>
    </w:p>
    <w:p w:rsidR="0014759D" w:rsidRPr="00D4476A" w:rsidRDefault="0014759D"/>
    <w:sectPr w:rsidR="0014759D" w:rsidRPr="00D4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A"/>
    <w:rsid w:val="0014759D"/>
    <w:rsid w:val="00D4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00728-CDDC-4AB2-9454-2432911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476A"/>
  </w:style>
  <w:style w:type="character" w:styleId="a3">
    <w:name w:val="Hyperlink"/>
    <w:basedOn w:val="a0"/>
    <w:uiPriority w:val="99"/>
    <w:semiHidden/>
    <w:unhideWhenUsed/>
    <w:rsid w:val="00D447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44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3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1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>china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2019-05-13T04:01:00Z</dcterms:created>
  <dcterms:modified xsi:type="dcterms:W3CDTF">2019-05-13T04:02:00Z</dcterms:modified>
</cp:coreProperties>
</file>