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2A" w:rsidRDefault="003F342A" w:rsidP="003F342A">
      <w:pPr>
        <w:jc w:val="center"/>
        <w:rPr>
          <w:b/>
          <w:sz w:val="30"/>
          <w:szCs w:val="30"/>
        </w:rPr>
      </w:pPr>
      <w:bookmarkStart w:id="0" w:name="_GoBack"/>
      <w:r w:rsidRPr="003F342A">
        <w:rPr>
          <w:rFonts w:hint="eastAsia"/>
          <w:b/>
          <w:sz w:val="30"/>
          <w:szCs w:val="30"/>
        </w:rPr>
        <w:t>《企业所得税税前扣除凭证管理办法》的学习笔记</w:t>
      </w:r>
    </w:p>
    <w:bookmarkEnd w:id="0"/>
    <w:p w:rsidR="006B64EE" w:rsidRDefault="003F342A" w:rsidP="003F342A">
      <w:pPr>
        <w:jc w:val="center"/>
      </w:pPr>
      <w:r w:rsidRPr="003F342A">
        <w:t>&lt;TPSZSMART整理&gt;</w:t>
      </w:r>
    </w:p>
    <w:p w:rsidR="003F342A" w:rsidRDefault="003F342A" w:rsidP="00062F1C"/>
    <w:tbl>
      <w:tblPr>
        <w:tblW w:w="5000" w:type="pct"/>
        <w:shd w:val="clear" w:color="auto" w:fill="FFFFFF"/>
        <w:tblCellMar>
          <w:left w:w="0" w:type="dxa"/>
          <w:right w:w="0" w:type="dxa"/>
        </w:tblCellMar>
        <w:tblLook w:val="04A0" w:firstRow="1" w:lastRow="0" w:firstColumn="1" w:lastColumn="0" w:noHBand="0" w:noVBand="1"/>
      </w:tblPr>
      <w:tblGrid>
        <w:gridCol w:w="986"/>
        <w:gridCol w:w="986"/>
        <w:gridCol w:w="3069"/>
        <w:gridCol w:w="3245"/>
      </w:tblGrid>
      <w:tr w:rsidR="003F342A" w:rsidRPr="003F342A" w:rsidTr="003F342A">
        <w:tc>
          <w:tcPr>
            <w:tcW w:w="119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color w:val="333333"/>
                <w:spacing w:val="8"/>
                <w:kern w:val="0"/>
                <w:sz w:val="24"/>
                <w:szCs w:val="24"/>
              </w:rPr>
            </w:pPr>
            <w:r w:rsidRPr="003F342A">
              <w:rPr>
                <w:rFonts w:ascii="仿宋" w:eastAsia="仿宋" w:hAnsi="仿宋" w:cs="宋体" w:hint="eastAsia"/>
                <w:b/>
                <w:bCs/>
                <w:color w:val="FF0000"/>
                <w:spacing w:val="8"/>
                <w:kern w:val="0"/>
                <w:sz w:val="24"/>
                <w:szCs w:val="24"/>
              </w:rPr>
              <w:t>核心内容</w:t>
            </w:r>
          </w:p>
        </w:tc>
        <w:tc>
          <w:tcPr>
            <w:tcW w:w="1852" w:type="pct"/>
            <w:tcBorders>
              <w:top w:val="single" w:sz="8" w:space="0" w:color="000000"/>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条款</w:t>
            </w:r>
          </w:p>
        </w:tc>
        <w:tc>
          <w:tcPr>
            <w:tcW w:w="1958" w:type="pct"/>
            <w:tcBorders>
              <w:top w:val="single" w:sz="8" w:space="0" w:color="000000"/>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官方解读及学习笔记</w:t>
            </w:r>
          </w:p>
        </w:tc>
      </w:tr>
      <w:tr w:rsidR="003F342A" w:rsidRPr="003F342A" w:rsidTr="003F342A">
        <w:tc>
          <w:tcPr>
            <w:tcW w:w="1190" w:type="pct"/>
            <w:gridSpan w:val="2"/>
            <w:tcBorders>
              <w:top w:val="nil"/>
              <w:left w:val="single" w:sz="8" w:space="0" w:color="000000"/>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法律依据</w:t>
            </w: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第一条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 xml:space="preserve"> 为规范企业所得税税前扣除凭证（以下简称“税前扣除凭证”）管理，根据《中华人民共和国企业所得税法》（以下简称“企业所得税法”）及其实施条例、《中华人民共和国税收征收管理法》（以下简称“税收征管法”）及其实施细则、《中华人民共和国发票管理办法》（以下简称“发票管理办法”）及其实施细则等规定，制定本办法。</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1、三大法律依据，二法及一行政法规。这也是企业所得税税前扣除应重点关注的三大基本法律法规。</w:t>
            </w:r>
          </w:p>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2、税总企业所得税政策法规中明确使用了“税前扣除凭证”的概念</w:t>
            </w:r>
            <w:r w:rsidRPr="003F342A">
              <w:rPr>
                <w:rFonts w:ascii="仿宋" w:eastAsia="仿宋" w:hAnsi="仿宋" w:cs="宋体" w:hint="eastAsia"/>
                <w:b/>
                <w:bCs/>
                <w:i/>
                <w:iCs/>
                <w:color w:val="FF0000"/>
                <w:spacing w:val="8"/>
                <w:kern w:val="0"/>
                <w:sz w:val="24"/>
                <w:szCs w:val="24"/>
                <w:u w:val="single"/>
              </w:rPr>
              <w:t>，这一概念是否就能改变基层税务机关企业所得税管理中的“以票管税”的传统思想，值得亲们思考。</w:t>
            </w:r>
          </w:p>
        </w:tc>
      </w:tr>
      <w:tr w:rsidR="003F342A" w:rsidRPr="003F342A" w:rsidTr="003F342A">
        <w:tc>
          <w:tcPr>
            <w:tcW w:w="1190" w:type="pct"/>
            <w:gridSpan w:val="2"/>
            <w:tcBorders>
              <w:top w:val="nil"/>
              <w:left w:val="single" w:sz="8" w:space="0" w:color="000000"/>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概念界定</w:t>
            </w: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第二条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 xml:space="preserve"> 本办法所称税前扣除凭证,是指企业在计算企业所得税应纳税所得额时，</w:t>
            </w:r>
            <w:r w:rsidRPr="003F342A">
              <w:rPr>
                <w:rFonts w:ascii="仿宋" w:eastAsia="仿宋" w:hAnsi="仿宋" w:cs="宋体" w:hint="eastAsia"/>
                <w:b/>
                <w:bCs/>
                <w:i/>
                <w:iCs/>
                <w:color w:val="FF0000"/>
                <w:spacing w:val="8"/>
                <w:kern w:val="0"/>
                <w:sz w:val="24"/>
                <w:szCs w:val="24"/>
                <w:u w:val="single"/>
              </w:rPr>
              <w:t>证明与取得收入有关的、合理的支出实际发生，并据以税前扣除的各类凭证。</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b/>
                <w:bCs/>
                <w:i/>
                <w:iCs/>
                <w:color w:val="FF0000"/>
                <w:spacing w:val="8"/>
                <w:kern w:val="0"/>
                <w:sz w:val="24"/>
                <w:szCs w:val="24"/>
                <w:u w:val="single"/>
              </w:rPr>
              <w:t>《企业所得税法》第八条规定</w:t>
            </w:r>
            <w:r w:rsidRPr="003F342A">
              <w:rPr>
                <w:rFonts w:ascii="仿宋" w:eastAsia="仿宋" w:hAnsi="仿宋" w:cs="宋体" w:hint="eastAsia"/>
                <w:color w:val="333333"/>
                <w:spacing w:val="8"/>
                <w:kern w:val="0"/>
                <w:sz w:val="24"/>
                <w:szCs w:val="24"/>
              </w:rPr>
              <w:t>：企业实际发生的与取得收入有关的、合理的支出，包括成本、费用、税金、损失和其他支出，准予在计算应纳税所得额时扣除。税法该条明确了税前扣除应遵循的原则，同时企业所得税法及其实施条例等规定明确了税前扣除的范围和标准；</w:t>
            </w:r>
            <w:r w:rsidRPr="003F342A">
              <w:rPr>
                <w:rFonts w:ascii="仿宋" w:eastAsia="仿宋" w:hAnsi="仿宋" w:cs="宋体" w:hint="eastAsia"/>
                <w:b/>
                <w:bCs/>
                <w:i/>
                <w:iCs/>
                <w:color w:val="FF0000"/>
                <w:spacing w:val="8"/>
                <w:kern w:val="0"/>
                <w:sz w:val="24"/>
                <w:szCs w:val="24"/>
                <w:u w:val="single"/>
              </w:rPr>
              <w:t>而本条则明确了税前扣除凭证的概念界定，终于回归到了企业所得税税前扣除“实际发生”的基本法理。</w:t>
            </w:r>
          </w:p>
        </w:tc>
      </w:tr>
      <w:tr w:rsidR="003F342A" w:rsidRPr="003F342A" w:rsidTr="003F342A">
        <w:tc>
          <w:tcPr>
            <w:tcW w:w="1190" w:type="pct"/>
            <w:gridSpan w:val="2"/>
            <w:tcBorders>
              <w:top w:val="nil"/>
              <w:left w:val="single" w:sz="8" w:space="0" w:color="000000"/>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lastRenderedPageBreak/>
              <w:t>适用范围</w:t>
            </w: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第三条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 xml:space="preserve"> 本办法所称</w:t>
            </w:r>
            <w:r w:rsidRPr="003F342A">
              <w:rPr>
                <w:rFonts w:ascii="仿宋" w:eastAsia="仿宋" w:hAnsi="仿宋" w:cs="宋体" w:hint="eastAsia"/>
                <w:i/>
                <w:iCs/>
                <w:color w:val="FF0000"/>
                <w:spacing w:val="8"/>
                <w:kern w:val="0"/>
                <w:sz w:val="24"/>
                <w:szCs w:val="24"/>
                <w:u w:val="single"/>
              </w:rPr>
              <w:t>企业是指企业所得税法及其实施条例规定的居民企业和非居民企业。</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与税法的适用范围保存一致。</w:t>
            </w:r>
            <w:r w:rsidRPr="003F342A">
              <w:rPr>
                <w:rFonts w:ascii="仿宋" w:eastAsia="仿宋" w:hAnsi="仿宋" w:cs="宋体" w:hint="eastAsia"/>
                <w:i/>
                <w:iCs/>
                <w:color w:val="FF0000"/>
                <w:spacing w:val="8"/>
                <w:kern w:val="0"/>
                <w:sz w:val="24"/>
                <w:szCs w:val="24"/>
                <w:u w:val="single"/>
              </w:rPr>
              <w:t>关注该《办法》是适用于非居民企业的！</w:t>
            </w:r>
          </w:p>
        </w:tc>
      </w:tr>
      <w:tr w:rsidR="003F342A" w:rsidRPr="003F342A" w:rsidTr="003F342A">
        <w:tc>
          <w:tcPr>
            <w:tcW w:w="595" w:type="pct"/>
            <w:vMerge w:val="restart"/>
            <w:tcBorders>
              <w:top w:val="nil"/>
              <w:left w:val="single" w:sz="8" w:space="0" w:color="000000"/>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基本原则</w:t>
            </w:r>
          </w:p>
        </w:tc>
        <w:tc>
          <w:tcPr>
            <w:tcW w:w="595"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三性原则</w:t>
            </w: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第四条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 xml:space="preserve"> 税前扣除凭证在管理中遵循</w:t>
            </w:r>
            <w:r w:rsidRPr="003F342A">
              <w:rPr>
                <w:rFonts w:ascii="仿宋" w:eastAsia="仿宋" w:hAnsi="仿宋" w:cs="宋体" w:hint="eastAsia"/>
                <w:b/>
                <w:bCs/>
                <w:i/>
                <w:iCs/>
                <w:color w:val="FF0000"/>
                <w:spacing w:val="8"/>
                <w:kern w:val="0"/>
                <w:sz w:val="24"/>
                <w:szCs w:val="24"/>
                <w:u w:val="single"/>
              </w:rPr>
              <w:t>真实性、合法性、关联性原则</w:t>
            </w:r>
            <w:r w:rsidRPr="003F342A">
              <w:rPr>
                <w:rFonts w:ascii="仿宋" w:eastAsia="仿宋" w:hAnsi="仿宋" w:cs="宋体" w:hint="eastAsia"/>
                <w:color w:val="333333"/>
                <w:spacing w:val="8"/>
                <w:kern w:val="0"/>
                <w:sz w:val="24"/>
                <w:szCs w:val="24"/>
              </w:rPr>
              <w:t>。</w:t>
            </w:r>
            <w:r w:rsidRPr="003F342A">
              <w:rPr>
                <w:rFonts w:ascii="仿宋" w:eastAsia="仿宋" w:hAnsi="仿宋" w:cs="宋体" w:hint="eastAsia"/>
                <w:b/>
                <w:bCs/>
                <w:i/>
                <w:iCs/>
                <w:color w:val="FF0000"/>
                <w:spacing w:val="8"/>
                <w:kern w:val="0"/>
                <w:sz w:val="24"/>
                <w:szCs w:val="24"/>
                <w:u w:val="single"/>
              </w:rPr>
              <w:t>真实性</w:t>
            </w:r>
            <w:r w:rsidRPr="003F342A">
              <w:rPr>
                <w:rFonts w:ascii="仿宋" w:eastAsia="仿宋" w:hAnsi="仿宋" w:cs="宋体" w:hint="eastAsia"/>
                <w:color w:val="333333"/>
                <w:spacing w:val="8"/>
                <w:kern w:val="0"/>
                <w:sz w:val="24"/>
                <w:szCs w:val="24"/>
              </w:rPr>
              <w:t>是指税前扣除凭证反映的经济业务真实，且支出已经实际发生；</w:t>
            </w:r>
            <w:r w:rsidRPr="003F342A">
              <w:rPr>
                <w:rFonts w:ascii="仿宋" w:eastAsia="仿宋" w:hAnsi="仿宋" w:cs="宋体" w:hint="eastAsia"/>
                <w:b/>
                <w:bCs/>
                <w:i/>
                <w:iCs/>
                <w:color w:val="FF0000"/>
                <w:spacing w:val="8"/>
                <w:kern w:val="0"/>
                <w:sz w:val="24"/>
                <w:szCs w:val="24"/>
                <w:u w:val="single"/>
              </w:rPr>
              <w:t>合法性</w:t>
            </w:r>
            <w:r w:rsidRPr="003F342A">
              <w:rPr>
                <w:rFonts w:ascii="仿宋" w:eastAsia="仿宋" w:hAnsi="仿宋" w:cs="宋体" w:hint="eastAsia"/>
                <w:color w:val="333333"/>
                <w:spacing w:val="8"/>
                <w:kern w:val="0"/>
                <w:sz w:val="24"/>
                <w:szCs w:val="24"/>
              </w:rPr>
              <w:t>是指税前扣除凭证的形式、来源符合国家法律、法规等相关规定；</w:t>
            </w:r>
            <w:r w:rsidRPr="003F342A">
              <w:rPr>
                <w:rFonts w:ascii="仿宋" w:eastAsia="仿宋" w:hAnsi="仿宋" w:cs="宋体" w:hint="eastAsia"/>
                <w:b/>
                <w:bCs/>
                <w:i/>
                <w:iCs/>
                <w:color w:val="FF0000"/>
                <w:spacing w:val="8"/>
                <w:kern w:val="0"/>
                <w:sz w:val="24"/>
                <w:szCs w:val="24"/>
                <w:u w:val="single"/>
              </w:rPr>
              <w:t>关联性</w:t>
            </w:r>
            <w:r w:rsidRPr="003F342A">
              <w:rPr>
                <w:rFonts w:ascii="仿宋" w:eastAsia="仿宋" w:hAnsi="仿宋" w:cs="宋体" w:hint="eastAsia"/>
                <w:color w:val="333333"/>
                <w:spacing w:val="8"/>
                <w:kern w:val="0"/>
                <w:sz w:val="24"/>
                <w:szCs w:val="24"/>
              </w:rPr>
              <w:t>是指税前扣除凭证与其反映的支出相关联且有证明力。</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该条明确了税前扣除凭证在管理中应当遵循的“三性原则”，从而可以消除税企双方争议，确保共同规范处理此类事项。</w:t>
            </w:r>
            <w:r w:rsidRPr="003F342A">
              <w:rPr>
                <w:rFonts w:ascii="仿宋" w:eastAsia="仿宋" w:hAnsi="仿宋" w:cs="宋体" w:hint="eastAsia"/>
                <w:b/>
                <w:bCs/>
                <w:i/>
                <w:iCs/>
                <w:color w:val="FF0000"/>
                <w:spacing w:val="8"/>
                <w:kern w:val="0"/>
                <w:sz w:val="24"/>
                <w:szCs w:val="24"/>
                <w:u w:val="single"/>
              </w:rPr>
              <w:t>真实性应是基础</w:t>
            </w:r>
            <w:r w:rsidRPr="003F342A">
              <w:rPr>
                <w:rFonts w:ascii="仿宋" w:eastAsia="仿宋" w:hAnsi="仿宋" w:cs="宋体" w:hint="eastAsia"/>
                <w:color w:val="333333"/>
                <w:spacing w:val="8"/>
                <w:kern w:val="0"/>
                <w:sz w:val="24"/>
                <w:szCs w:val="24"/>
              </w:rPr>
              <w:t>，若企业的经济业务及支出不具备真实性，自然就不涉及税前扣除的问题。</w:t>
            </w:r>
            <w:r w:rsidRPr="003F342A">
              <w:rPr>
                <w:rFonts w:ascii="仿宋" w:eastAsia="仿宋" w:hAnsi="仿宋" w:cs="宋体" w:hint="eastAsia"/>
                <w:b/>
                <w:bCs/>
                <w:i/>
                <w:iCs/>
                <w:color w:val="FF0000"/>
                <w:spacing w:val="8"/>
                <w:kern w:val="0"/>
                <w:sz w:val="24"/>
                <w:szCs w:val="24"/>
                <w:u w:val="single"/>
              </w:rPr>
              <w:t>合法性和关联性是核心</w:t>
            </w:r>
            <w:r w:rsidRPr="003F342A">
              <w:rPr>
                <w:rFonts w:ascii="仿宋" w:eastAsia="仿宋" w:hAnsi="仿宋" w:cs="宋体" w:hint="eastAsia"/>
                <w:color w:val="333333"/>
                <w:spacing w:val="8"/>
                <w:kern w:val="0"/>
                <w:sz w:val="24"/>
                <w:szCs w:val="24"/>
              </w:rPr>
              <w:t>，只有当税前扣除凭证的形式、来源符合法律、法规等相关规定，</w:t>
            </w:r>
            <w:r w:rsidRPr="003F342A">
              <w:rPr>
                <w:rFonts w:ascii="仿宋" w:eastAsia="仿宋" w:hAnsi="仿宋" w:cs="宋体" w:hint="eastAsia"/>
                <w:b/>
                <w:bCs/>
                <w:i/>
                <w:iCs/>
                <w:color w:val="FF0000"/>
                <w:spacing w:val="8"/>
                <w:kern w:val="0"/>
                <w:sz w:val="24"/>
                <w:szCs w:val="24"/>
                <w:u w:val="single"/>
              </w:rPr>
              <w:t>与支出相关联且有证明力时，才能作为企业支出在税前扣除的证明资料。需要注意的是尽管该《办法》减少了不少争议并增加了实务操作性,但是作为一个仅仅包含20条内容的《办法》要解决企业所得税税前扣除的所有问题是不现实也不可能的，这样就可以在出现其他税前扣除的相关争议问题时可以考虑回归到按该“三性原则”进行理解和处理。</w:t>
            </w:r>
          </w:p>
        </w:tc>
      </w:tr>
      <w:tr w:rsidR="003F342A" w:rsidRPr="003F342A" w:rsidTr="003F342A">
        <w:tc>
          <w:tcPr>
            <w:tcW w:w="595" w:type="pct"/>
            <w:vMerge/>
            <w:tcBorders>
              <w:top w:val="nil"/>
              <w:left w:val="single" w:sz="8" w:space="0" w:color="000000"/>
              <w:bottom w:val="single" w:sz="8" w:space="0" w:color="000000"/>
              <w:right w:val="single" w:sz="8" w:space="0" w:color="000000"/>
            </w:tcBorders>
            <w:shd w:val="clear" w:color="auto" w:fill="FFFFFF"/>
            <w:vAlign w:val="center"/>
            <w:hideMark/>
          </w:tcPr>
          <w:p w:rsidR="003F342A" w:rsidRPr="003F342A" w:rsidRDefault="003F342A" w:rsidP="003F342A">
            <w:pPr>
              <w:widowControl/>
              <w:spacing w:line="408" w:lineRule="atLeast"/>
              <w:rPr>
                <w:rFonts w:ascii="仿宋" w:eastAsia="仿宋" w:hAnsi="仿宋" w:cs="宋体"/>
                <w:color w:val="333333"/>
                <w:spacing w:val="8"/>
                <w:kern w:val="0"/>
                <w:sz w:val="24"/>
                <w:szCs w:val="24"/>
              </w:rPr>
            </w:pPr>
          </w:p>
        </w:tc>
        <w:tc>
          <w:tcPr>
            <w:tcW w:w="595"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扣除依据</w:t>
            </w: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第五条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 xml:space="preserve"> 企业发生支出，</w:t>
            </w:r>
            <w:r w:rsidRPr="003F342A">
              <w:rPr>
                <w:rFonts w:ascii="仿宋" w:eastAsia="仿宋" w:hAnsi="仿宋" w:cs="宋体" w:hint="eastAsia"/>
                <w:b/>
                <w:bCs/>
                <w:i/>
                <w:iCs/>
                <w:color w:val="FF0000"/>
                <w:spacing w:val="8"/>
                <w:kern w:val="0"/>
                <w:sz w:val="24"/>
                <w:szCs w:val="24"/>
                <w:u w:val="single"/>
              </w:rPr>
              <w:t>应取得税前扣除凭证，作为计算企业所得税应纳税所得额时扣除相关支出的依据。</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明确税前扣除应该取得税前扣除凭证，而不只是“发票”才能税前扣除。</w:t>
            </w:r>
          </w:p>
        </w:tc>
      </w:tr>
      <w:tr w:rsidR="003F342A" w:rsidRPr="003F342A" w:rsidTr="003F342A">
        <w:tc>
          <w:tcPr>
            <w:tcW w:w="595" w:type="pct"/>
            <w:vMerge/>
            <w:tcBorders>
              <w:top w:val="nil"/>
              <w:left w:val="single" w:sz="8" w:space="0" w:color="000000"/>
              <w:bottom w:val="single" w:sz="8" w:space="0" w:color="000000"/>
              <w:right w:val="single" w:sz="8" w:space="0" w:color="000000"/>
            </w:tcBorders>
            <w:shd w:val="clear" w:color="auto" w:fill="FFFFFF"/>
            <w:vAlign w:val="center"/>
            <w:hideMark/>
          </w:tcPr>
          <w:p w:rsidR="003F342A" w:rsidRPr="003F342A" w:rsidRDefault="003F342A" w:rsidP="003F342A">
            <w:pPr>
              <w:widowControl/>
              <w:spacing w:line="408" w:lineRule="atLeast"/>
              <w:rPr>
                <w:rFonts w:ascii="仿宋" w:eastAsia="仿宋" w:hAnsi="仿宋" w:cs="宋体"/>
                <w:color w:val="333333"/>
                <w:spacing w:val="8"/>
                <w:kern w:val="0"/>
                <w:sz w:val="24"/>
                <w:szCs w:val="24"/>
              </w:rPr>
            </w:pPr>
          </w:p>
        </w:tc>
        <w:tc>
          <w:tcPr>
            <w:tcW w:w="595"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取得时间</w:t>
            </w: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第六条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 xml:space="preserve"> 企业应在</w:t>
            </w:r>
            <w:r w:rsidRPr="003F342A">
              <w:rPr>
                <w:rFonts w:ascii="仿宋" w:eastAsia="仿宋" w:hAnsi="仿宋" w:cs="宋体" w:hint="eastAsia"/>
                <w:b/>
                <w:bCs/>
                <w:i/>
                <w:iCs/>
                <w:color w:val="FF0000"/>
                <w:spacing w:val="8"/>
                <w:kern w:val="0"/>
                <w:sz w:val="24"/>
                <w:szCs w:val="24"/>
                <w:u w:val="single"/>
              </w:rPr>
              <w:t>当年度企业所得税法规定的汇算清缴期结束前取得税前扣除凭证。</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如果没有因特殊情况将汇算清缴期延期的话理解应该是每年5月31日前。针对这个时间问题一直以来税企双方存争议，如思迈特财税咨询公司2017年4月27日办理了汇算清缴事宜，那到底是427之前OR531之前，该条终于予以明确了。</w:t>
            </w:r>
          </w:p>
        </w:tc>
      </w:tr>
      <w:tr w:rsidR="003F342A" w:rsidRPr="003F342A" w:rsidTr="003F342A">
        <w:tc>
          <w:tcPr>
            <w:tcW w:w="595" w:type="pct"/>
            <w:vMerge/>
            <w:tcBorders>
              <w:top w:val="nil"/>
              <w:left w:val="single" w:sz="8" w:space="0" w:color="000000"/>
              <w:bottom w:val="single" w:sz="8" w:space="0" w:color="000000"/>
              <w:right w:val="single" w:sz="8" w:space="0" w:color="000000"/>
            </w:tcBorders>
            <w:shd w:val="clear" w:color="auto" w:fill="FFFFFF"/>
            <w:vAlign w:val="center"/>
            <w:hideMark/>
          </w:tcPr>
          <w:p w:rsidR="003F342A" w:rsidRPr="003F342A" w:rsidRDefault="003F342A" w:rsidP="003F342A">
            <w:pPr>
              <w:widowControl/>
              <w:spacing w:line="408" w:lineRule="atLeast"/>
              <w:rPr>
                <w:rFonts w:ascii="仿宋" w:eastAsia="仿宋" w:hAnsi="仿宋" w:cs="宋体"/>
                <w:color w:val="333333"/>
                <w:spacing w:val="8"/>
                <w:kern w:val="0"/>
                <w:sz w:val="24"/>
                <w:szCs w:val="24"/>
              </w:rPr>
            </w:pPr>
          </w:p>
        </w:tc>
        <w:tc>
          <w:tcPr>
            <w:tcW w:w="595"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相关资料处理</w:t>
            </w: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第七条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 xml:space="preserve"> 企业应将与税前扣除凭证相关的资料，包括</w:t>
            </w:r>
            <w:r w:rsidRPr="003F342A">
              <w:rPr>
                <w:rFonts w:ascii="仿宋" w:eastAsia="仿宋" w:hAnsi="仿宋" w:cs="宋体" w:hint="eastAsia"/>
                <w:b/>
                <w:bCs/>
                <w:i/>
                <w:iCs/>
                <w:color w:val="FF0000"/>
                <w:spacing w:val="8"/>
                <w:kern w:val="0"/>
                <w:sz w:val="24"/>
                <w:szCs w:val="24"/>
                <w:u w:val="single"/>
              </w:rPr>
              <w:t>合同协议、支出依据、付款凭证等留存备查,以证实税前扣除凭证的真实性。</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1、企业在经营活动及经济往来中往往会伴生有合同协议、支出依据、付款凭证等相关资料，这类资料不属于税前扣除凭证，但属于与企业经营活动直接相关且能够证明税前扣除凭证真实性的证明资料，企业也应按照法律、法规等相关规定，履行尽职保管的责任，以备包括税务机关在内的有关部门、机构或者人员核实。</w:t>
            </w:r>
          </w:p>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2、在某些特殊情形下，企业发生的支出不会不一定伴生合同协议，</w:t>
            </w:r>
            <w:r w:rsidRPr="003F342A">
              <w:rPr>
                <w:rFonts w:ascii="仿宋" w:eastAsia="仿宋" w:hAnsi="仿宋" w:cs="宋体" w:hint="eastAsia"/>
                <w:b/>
                <w:bCs/>
                <w:i/>
                <w:iCs/>
                <w:color w:val="FF0000"/>
                <w:spacing w:val="8"/>
                <w:kern w:val="0"/>
                <w:sz w:val="24"/>
                <w:szCs w:val="24"/>
                <w:u w:val="single"/>
              </w:rPr>
              <w:t>比如法院判决企业支付违约金的情形，伴有法院的判决文书等，这类资料是确定企业是否应支出和支出多少金额的依据，企业也应将这类资料作为支出依据留存备查。</w:t>
            </w:r>
          </w:p>
        </w:tc>
      </w:tr>
      <w:tr w:rsidR="003F342A" w:rsidRPr="003F342A" w:rsidTr="003F342A">
        <w:tc>
          <w:tcPr>
            <w:tcW w:w="1190" w:type="pct"/>
            <w:gridSpan w:val="2"/>
            <w:tcBorders>
              <w:top w:val="nil"/>
              <w:left w:val="single" w:sz="8" w:space="0" w:color="000000"/>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凭证种类</w:t>
            </w: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第八条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 xml:space="preserve"> 税前扣除凭证按照</w:t>
            </w:r>
            <w:r w:rsidRPr="003F342A">
              <w:rPr>
                <w:rFonts w:ascii="仿宋" w:eastAsia="仿宋" w:hAnsi="仿宋" w:cs="宋体" w:hint="eastAsia"/>
                <w:b/>
                <w:bCs/>
                <w:i/>
                <w:iCs/>
                <w:color w:val="FF0000"/>
                <w:spacing w:val="8"/>
                <w:kern w:val="0"/>
                <w:sz w:val="24"/>
                <w:szCs w:val="24"/>
                <w:u w:val="single"/>
              </w:rPr>
              <w:t>来源分为内部凭证和外部凭证。</w:t>
            </w:r>
          </w:p>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b/>
                <w:bCs/>
                <w:i/>
                <w:iCs/>
                <w:color w:val="FF0000"/>
                <w:spacing w:val="8"/>
                <w:kern w:val="0"/>
                <w:sz w:val="24"/>
                <w:szCs w:val="24"/>
                <w:u w:val="single"/>
              </w:rPr>
              <w:lastRenderedPageBreak/>
              <w:t>内部凭证</w:t>
            </w:r>
            <w:r w:rsidRPr="003F342A">
              <w:rPr>
                <w:rFonts w:ascii="仿宋" w:eastAsia="仿宋" w:hAnsi="仿宋" w:cs="宋体" w:hint="eastAsia"/>
                <w:color w:val="333333"/>
                <w:spacing w:val="8"/>
                <w:kern w:val="0"/>
                <w:sz w:val="24"/>
                <w:szCs w:val="24"/>
              </w:rPr>
              <w:t>是指企业自制用于成本、费用、损失和其他支出核算的</w:t>
            </w:r>
            <w:r w:rsidRPr="003F342A">
              <w:rPr>
                <w:rFonts w:ascii="仿宋" w:eastAsia="仿宋" w:hAnsi="仿宋" w:cs="宋体" w:hint="eastAsia"/>
                <w:b/>
                <w:bCs/>
                <w:i/>
                <w:iCs/>
                <w:color w:val="FF0000"/>
                <w:spacing w:val="8"/>
                <w:kern w:val="0"/>
                <w:sz w:val="24"/>
                <w:szCs w:val="24"/>
                <w:u w:val="single"/>
              </w:rPr>
              <w:t>会计原始凭证</w:t>
            </w:r>
            <w:r w:rsidRPr="003F342A">
              <w:rPr>
                <w:rFonts w:ascii="仿宋" w:eastAsia="仿宋" w:hAnsi="仿宋" w:cs="宋体" w:hint="eastAsia"/>
                <w:color w:val="333333"/>
                <w:spacing w:val="8"/>
                <w:kern w:val="0"/>
                <w:sz w:val="24"/>
                <w:szCs w:val="24"/>
              </w:rPr>
              <w:t>。内部凭证的</w:t>
            </w:r>
            <w:r w:rsidRPr="003F342A">
              <w:rPr>
                <w:rFonts w:ascii="仿宋" w:eastAsia="仿宋" w:hAnsi="仿宋" w:cs="宋体" w:hint="eastAsia"/>
                <w:b/>
                <w:bCs/>
                <w:i/>
                <w:iCs/>
                <w:color w:val="FF0000"/>
                <w:spacing w:val="8"/>
                <w:kern w:val="0"/>
                <w:sz w:val="24"/>
                <w:szCs w:val="24"/>
                <w:u w:val="single"/>
              </w:rPr>
              <w:t>填制和使用应当符合国家会计法律、法规等相关规定。</w:t>
            </w:r>
          </w:p>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b/>
                <w:bCs/>
                <w:i/>
                <w:iCs/>
                <w:color w:val="FF0000"/>
                <w:spacing w:val="8"/>
                <w:kern w:val="0"/>
                <w:sz w:val="24"/>
                <w:szCs w:val="24"/>
                <w:u w:val="single"/>
              </w:rPr>
              <w:t>外部凭证</w:t>
            </w:r>
            <w:r w:rsidRPr="003F342A">
              <w:rPr>
                <w:rFonts w:ascii="仿宋" w:eastAsia="仿宋" w:hAnsi="仿宋" w:cs="宋体" w:hint="eastAsia"/>
                <w:color w:val="333333"/>
                <w:spacing w:val="8"/>
                <w:kern w:val="0"/>
                <w:sz w:val="24"/>
                <w:szCs w:val="24"/>
              </w:rPr>
              <w:t>是指企业发生经营活动和其他事项时，从其他单位、个人取得的用于证明其支出发生的凭证，</w:t>
            </w:r>
            <w:r w:rsidRPr="003F342A">
              <w:rPr>
                <w:rFonts w:ascii="仿宋" w:eastAsia="仿宋" w:hAnsi="仿宋" w:cs="宋体" w:hint="eastAsia"/>
                <w:b/>
                <w:bCs/>
                <w:i/>
                <w:iCs/>
                <w:color w:val="FF0000"/>
                <w:spacing w:val="8"/>
                <w:kern w:val="0"/>
                <w:sz w:val="24"/>
                <w:szCs w:val="24"/>
                <w:u w:val="single"/>
              </w:rPr>
              <w:t>包括但不限于发票（包括纸质发票和电子发票）、财政票据、完税凭证、收款凭证、分割单等</w:t>
            </w:r>
            <w:r w:rsidRPr="003F342A">
              <w:rPr>
                <w:rFonts w:ascii="仿宋" w:eastAsia="仿宋" w:hAnsi="仿宋" w:cs="宋体" w:hint="eastAsia"/>
                <w:color w:val="333333"/>
                <w:spacing w:val="8"/>
                <w:kern w:val="0"/>
                <w:sz w:val="24"/>
                <w:szCs w:val="24"/>
              </w:rPr>
              <w:t>。</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lastRenderedPageBreak/>
              <w:t>由于企业的经营活动及经济往来多样复杂，在实际发生与取得收入有关的、合理的支出时，取得的税</w:t>
            </w:r>
            <w:r w:rsidRPr="003F342A">
              <w:rPr>
                <w:rFonts w:ascii="仿宋" w:eastAsia="仿宋" w:hAnsi="仿宋" w:cs="宋体" w:hint="eastAsia"/>
                <w:color w:val="333333"/>
                <w:spacing w:val="8"/>
                <w:kern w:val="0"/>
                <w:sz w:val="24"/>
                <w:szCs w:val="24"/>
              </w:rPr>
              <w:lastRenderedPageBreak/>
              <w:t>前扣除凭证不尽相同。该条从易于判断、便于操作出发，根据税前扣除凭证的取得来源，</w:t>
            </w:r>
            <w:r w:rsidRPr="003F342A">
              <w:rPr>
                <w:rFonts w:ascii="仿宋" w:eastAsia="仿宋" w:hAnsi="仿宋" w:cs="宋体" w:hint="eastAsia"/>
                <w:b/>
                <w:bCs/>
                <w:i/>
                <w:iCs/>
                <w:color w:val="FF0000"/>
                <w:spacing w:val="8"/>
                <w:kern w:val="0"/>
                <w:sz w:val="24"/>
                <w:szCs w:val="24"/>
                <w:u w:val="single"/>
              </w:rPr>
              <w:t>将其分为内部凭证和外部凭证。</w:t>
            </w:r>
          </w:p>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b/>
                <w:bCs/>
                <w:i/>
                <w:iCs/>
                <w:color w:val="FF0000"/>
                <w:spacing w:val="8"/>
                <w:kern w:val="0"/>
                <w:sz w:val="24"/>
                <w:szCs w:val="24"/>
                <w:u w:val="single"/>
              </w:rPr>
              <w:t>1、内部凭证是指企业根据国家会计法律、法规等相关规定，在其发生支出时，由企业自行填制的用于核算其支出的会计原始凭证。如企业支付给员工工资的工资表、报销单、折旧及摊销单等会计原始凭证即为企业据以税前扣除的内部凭证。而且需要特别提醒是“会计原始凭证”应该引起企业高管和财税人员的高度重视，很多企业特别是一些民营企业的账务处理实务中不重视这些自制的“会计原始凭证”，有的企业根本不填制，有的就算填制了也不规范如没有相关内部审批程序和审批审核责任人员签署等（也许这一问题是一些企业2套以上账造成的吧）。</w:t>
            </w:r>
          </w:p>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b/>
                <w:bCs/>
                <w:i/>
                <w:iCs/>
                <w:color w:val="FF0000"/>
                <w:spacing w:val="8"/>
                <w:kern w:val="0"/>
                <w:sz w:val="24"/>
                <w:szCs w:val="24"/>
                <w:u w:val="single"/>
              </w:rPr>
              <w:t>2、外部凭证是指企业发生经营活动和其他事项时，取得的发票、财政票据、完税凭证以及其他单位、个人出具的收款凭证等用于证明其支出发生的凭证。</w:t>
            </w:r>
            <w:r w:rsidRPr="003F342A">
              <w:rPr>
                <w:rFonts w:ascii="仿宋" w:eastAsia="仿宋" w:hAnsi="仿宋" w:cs="宋体" w:hint="eastAsia"/>
                <w:color w:val="333333"/>
                <w:spacing w:val="8"/>
                <w:kern w:val="0"/>
                <w:sz w:val="24"/>
                <w:szCs w:val="24"/>
              </w:rPr>
              <w:t>其中，</w:t>
            </w:r>
            <w:r w:rsidRPr="003F342A">
              <w:rPr>
                <w:rFonts w:ascii="仿宋" w:eastAsia="仿宋" w:hAnsi="仿宋" w:cs="宋体" w:hint="eastAsia"/>
                <w:b/>
                <w:bCs/>
                <w:color w:val="FF0000"/>
                <w:spacing w:val="8"/>
                <w:kern w:val="0"/>
                <w:sz w:val="24"/>
                <w:szCs w:val="24"/>
              </w:rPr>
              <w:t>发票包括纸质发票和电子发票，也包括</w:t>
            </w:r>
            <w:r w:rsidRPr="003F342A">
              <w:rPr>
                <w:rFonts w:ascii="仿宋" w:eastAsia="仿宋" w:hAnsi="仿宋" w:cs="宋体" w:hint="eastAsia"/>
                <w:b/>
                <w:bCs/>
                <w:color w:val="FF0000"/>
                <w:spacing w:val="8"/>
                <w:kern w:val="0"/>
                <w:sz w:val="24"/>
                <w:szCs w:val="24"/>
              </w:rPr>
              <w:lastRenderedPageBreak/>
              <w:t>税务机关代开的发票。外部凭证的范畴特意用了“</w:t>
            </w:r>
            <w:r w:rsidRPr="003F342A">
              <w:rPr>
                <w:rFonts w:ascii="仿宋" w:eastAsia="仿宋" w:hAnsi="仿宋" w:cs="宋体" w:hint="eastAsia"/>
                <w:b/>
                <w:bCs/>
                <w:i/>
                <w:iCs/>
                <w:color w:val="FF0000"/>
                <w:spacing w:val="8"/>
                <w:kern w:val="0"/>
                <w:sz w:val="24"/>
                <w:szCs w:val="24"/>
                <w:u w:val="single"/>
              </w:rPr>
              <w:t>包括但不限于发票”及“等”字眼，理解只要是确实合规的外部凭证都是OK的如军队票据等。</w:t>
            </w:r>
          </w:p>
        </w:tc>
      </w:tr>
      <w:tr w:rsidR="003F342A" w:rsidRPr="003F342A" w:rsidTr="003F342A">
        <w:tc>
          <w:tcPr>
            <w:tcW w:w="595" w:type="pct"/>
            <w:vMerge w:val="restart"/>
            <w:tcBorders>
              <w:top w:val="nil"/>
              <w:left w:val="single" w:sz="8" w:space="0" w:color="000000"/>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lastRenderedPageBreak/>
              <w:t>一般情形</w:t>
            </w:r>
          </w:p>
        </w:tc>
        <w:tc>
          <w:tcPr>
            <w:tcW w:w="595" w:type="pct"/>
            <w:vMerge w:val="restar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境内支出</w:t>
            </w: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ind w:firstLine="30"/>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第九条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 xml:space="preserve"> 企业在境内发生的支出项目属于增值税应税项目（以下简称“应税项目”）的，对方为已办理税务登记的增值税纳税人，其支出以发票（包括按照规定由税务机关代开的发票）作为税前扣除凭证；</w:t>
            </w:r>
            <w:r w:rsidRPr="003F342A">
              <w:rPr>
                <w:rFonts w:ascii="仿宋" w:eastAsia="仿宋" w:hAnsi="仿宋" w:cs="宋体" w:hint="eastAsia"/>
                <w:b/>
                <w:bCs/>
                <w:i/>
                <w:iCs/>
                <w:color w:val="FF0000"/>
                <w:spacing w:val="8"/>
                <w:kern w:val="0"/>
                <w:sz w:val="24"/>
                <w:szCs w:val="24"/>
                <w:u w:val="single"/>
              </w:rPr>
              <w:t>对方为依法无需办理税务登记的单位或者从事小额零星经营业务的个人，其支出以税务机关代开的发票或者收款凭证及内部凭证作为税前扣除凭证，收款凭证应载明收款单位名称、个人姓名及身份证号、支出项目、收款金额等相关信息。</w:t>
            </w:r>
          </w:p>
          <w:p w:rsidR="003F342A" w:rsidRPr="003F342A" w:rsidRDefault="003F342A" w:rsidP="003F342A">
            <w:pPr>
              <w:widowControl/>
              <w:wordWrap w:val="0"/>
              <w:spacing w:line="383" w:lineRule="atLeast"/>
              <w:ind w:firstLine="30"/>
              <w:rPr>
                <w:rFonts w:ascii="仿宋" w:eastAsia="仿宋" w:hAnsi="仿宋" w:cs="宋体" w:hint="eastAsia"/>
                <w:color w:val="333333"/>
                <w:spacing w:val="8"/>
                <w:kern w:val="0"/>
                <w:sz w:val="24"/>
                <w:szCs w:val="24"/>
              </w:rPr>
            </w:pPr>
            <w:r w:rsidRPr="003F342A">
              <w:rPr>
                <w:rFonts w:ascii="仿宋" w:eastAsia="仿宋" w:hAnsi="仿宋" w:cs="宋体" w:hint="eastAsia"/>
                <w:b/>
                <w:bCs/>
                <w:i/>
                <w:iCs/>
                <w:color w:val="FF0000"/>
                <w:spacing w:val="8"/>
                <w:kern w:val="0"/>
                <w:sz w:val="24"/>
                <w:szCs w:val="24"/>
                <w:u w:val="single"/>
              </w:rPr>
              <w:t>小额零星经营业务的判断标准是个人从事应税项目经营业务的销售额不超过增值税相关政策规定的起征点。</w:t>
            </w:r>
          </w:p>
          <w:p w:rsidR="003F342A" w:rsidRPr="003F342A" w:rsidRDefault="003F342A" w:rsidP="003F342A">
            <w:pPr>
              <w:widowControl/>
              <w:wordWrap w:val="0"/>
              <w:spacing w:line="383" w:lineRule="atLeast"/>
              <w:ind w:firstLine="30"/>
              <w:rPr>
                <w:rFonts w:ascii="仿宋" w:eastAsia="仿宋" w:hAnsi="仿宋" w:cs="宋体" w:hint="eastAsia"/>
                <w:color w:val="333333"/>
                <w:spacing w:val="8"/>
                <w:kern w:val="0"/>
                <w:sz w:val="24"/>
                <w:szCs w:val="24"/>
              </w:rPr>
            </w:pPr>
            <w:r w:rsidRPr="003F342A">
              <w:rPr>
                <w:rFonts w:ascii="仿宋" w:eastAsia="仿宋" w:hAnsi="仿宋" w:cs="宋体" w:hint="eastAsia"/>
                <w:b/>
                <w:bCs/>
                <w:i/>
                <w:iCs/>
                <w:color w:val="FF0000"/>
                <w:spacing w:val="8"/>
                <w:kern w:val="0"/>
                <w:sz w:val="24"/>
                <w:szCs w:val="24"/>
                <w:u w:val="single"/>
              </w:rPr>
              <w:t>税务总局对应税项目开具发票另有规定的，以规定的发票或者票据作为税前扣除凭证。</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1、全面 “营改增”试点后，属于增值税应税项目的，若对方为已办理税务登记的增值税纳税人，其支出就应以规范的</w:t>
            </w:r>
            <w:r w:rsidRPr="003F342A">
              <w:rPr>
                <w:rFonts w:ascii="仿宋" w:eastAsia="仿宋" w:hAnsi="仿宋" w:cs="宋体" w:hint="eastAsia"/>
                <w:b/>
                <w:bCs/>
                <w:i/>
                <w:iCs/>
                <w:color w:val="FF0000"/>
                <w:spacing w:val="8"/>
                <w:kern w:val="0"/>
                <w:sz w:val="24"/>
                <w:szCs w:val="24"/>
                <w:u w:val="single"/>
              </w:rPr>
              <w:t>发票</w:t>
            </w:r>
            <w:r w:rsidRPr="003F342A">
              <w:rPr>
                <w:rFonts w:ascii="仿宋" w:eastAsia="仿宋" w:hAnsi="仿宋" w:cs="宋体" w:hint="eastAsia"/>
                <w:color w:val="333333"/>
                <w:spacing w:val="8"/>
                <w:kern w:val="0"/>
                <w:sz w:val="24"/>
                <w:szCs w:val="24"/>
              </w:rPr>
              <w:t>作为税前扣除凭证。</w:t>
            </w:r>
          </w:p>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2、针对单位、个人无法自己开具应税项目发票的，可以按照规定由</w:t>
            </w:r>
            <w:r w:rsidRPr="003F342A">
              <w:rPr>
                <w:rFonts w:ascii="仿宋" w:eastAsia="仿宋" w:hAnsi="仿宋" w:cs="宋体" w:hint="eastAsia"/>
                <w:b/>
                <w:bCs/>
                <w:i/>
                <w:iCs/>
                <w:color w:val="FF0000"/>
                <w:spacing w:val="8"/>
                <w:kern w:val="0"/>
                <w:sz w:val="24"/>
                <w:szCs w:val="24"/>
                <w:u w:val="single"/>
              </w:rPr>
              <w:t>税务机关代开的发票</w:t>
            </w:r>
            <w:r w:rsidRPr="003F342A">
              <w:rPr>
                <w:rFonts w:ascii="仿宋" w:eastAsia="仿宋" w:hAnsi="仿宋" w:cs="宋体" w:hint="eastAsia"/>
                <w:color w:val="333333"/>
                <w:spacing w:val="8"/>
                <w:kern w:val="0"/>
                <w:sz w:val="24"/>
                <w:szCs w:val="24"/>
              </w:rPr>
              <w:t>作为税前扣除凭证。</w:t>
            </w:r>
          </w:p>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3、国家机关、个人2等依法无需办理税务登记的单位或个人，为减轻单位和个人办税负担，本条专门做出规定，对方为依法无需办理税务登记的单位或从事小额零星经营业务的个人，其支出</w:t>
            </w:r>
            <w:r w:rsidRPr="003F342A">
              <w:rPr>
                <w:rFonts w:ascii="仿宋" w:eastAsia="仿宋" w:hAnsi="仿宋" w:cs="宋体" w:hint="eastAsia"/>
                <w:b/>
                <w:bCs/>
                <w:i/>
                <w:iCs/>
                <w:color w:val="FF0000"/>
                <w:spacing w:val="8"/>
                <w:kern w:val="0"/>
                <w:sz w:val="24"/>
                <w:szCs w:val="24"/>
                <w:u w:val="single"/>
              </w:rPr>
              <w:t>以税务机关代开的发票、或者收款凭证以及内部凭证</w:t>
            </w:r>
            <w:r w:rsidRPr="003F342A">
              <w:rPr>
                <w:rFonts w:ascii="仿宋" w:eastAsia="仿宋" w:hAnsi="仿宋" w:cs="宋体" w:hint="eastAsia"/>
                <w:color w:val="333333"/>
                <w:spacing w:val="8"/>
                <w:kern w:val="0"/>
                <w:sz w:val="24"/>
                <w:szCs w:val="24"/>
              </w:rPr>
              <w:t>作为税前扣除凭证。</w:t>
            </w:r>
            <w:r w:rsidRPr="003F342A">
              <w:rPr>
                <w:rFonts w:ascii="仿宋" w:eastAsia="仿宋" w:hAnsi="仿宋" w:cs="宋体" w:hint="eastAsia"/>
                <w:b/>
                <w:bCs/>
                <w:i/>
                <w:iCs/>
                <w:color w:val="FF0000"/>
                <w:spacing w:val="8"/>
                <w:kern w:val="0"/>
                <w:sz w:val="24"/>
                <w:szCs w:val="24"/>
                <w:u w:val="single"/>
              </w:rPr>
              <w:t>但是收款凭证应载明收款单位名称、个人姓名及身份证号、支出项目、收款金额等相关信息</w:t>
            </w:r>
            <w:r w:rsidRPr="003F342A">
              <w:rPr>
                <w:rFonts w:ascii="仿宋" w:eastAsia="仿宋" w:hAnsi="仿宋" w:cs="宋体" w:hint="eastAsia"/>
                <w:color w:val="333333"/>
                <w:spacing w:val="8"/>
                <w:kern w:val="0"/>
                <w:sz w:val="24"/>
                <w:szCs w:val="24"/>
              </w:rPr>
              <w:t>。</w:t>
            </w:r>
          </w:p>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4、小额零星经营业务的判断标准是个人从事应税项目经营业务的销售额不超过增值税相关政策规定的</w:t>
            </w:r>
            <w:r w:rsidRPr="003F342A">
              <w:rPr>
                <w:rFonts w:ascii="仿宋" w:eastAsia="仿宋" w:hAnsi="仿宋" w:cs="宋体" w:hint="eastAsia"/>
                <w:color w:val="333333"/>
                <w:spacing w:val="8"/>
                <w:kern w:val="0"/>
                <w:sz w:val="24"/>
                <w:szCs w:val="24"/>
              </w:rPr>
              <w:lastRenderedPageBreak/>
              <w:t>起征点。即对方应税项目经营业务销售额如果超过增值税规定的起征点的，其支出仍以发票（包括按照规定由税务机关代开的发票）作为税前扣除凭证。</w:t>
            </w:r>
          </w:p>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5、税总对应税项目开具发票另有规定的，以</w:t>
            </w:r>
            <w:r w:rsidRPr="003F342A">
              <w:rPr>
                <w:rFonts w:ascii="仿宋" w:eastAsia="仿宋" w:hAnsi="仿宋" w:cs="宋体" w:hint="eastAsia"/>
                <w:b/>
                <w:bCs/>
                <w:i/>
                <w:iCs/>
                <w:color w:val="FF0000"/>
                <w:spacing w:val="8"/>
                <w:kern w:val="0"/>
                <w:sz w:val="24"/>
                <w:szCs w:val="24"/>
                <w:u w:val="single"/>
              </w:rPr>
              <w:t>规定的发票或者票据</w:t>
            </w:r>
            <w:r w:rsidRPr="003F342A">
              <w:rPr>
                <w:rFonts w:ascii="仿宋" w:eastAsia="仿宋" w:hAnsi="仿宋" w:cs="宋体" w:hint="eastAsia"/>
                <w:color w:val="333333"/>
                <w:spacing w:val="8"/>
                <w:kern w:val="0"/>
                <w:sz w:val="24"/>
                <w:szCs w:val="24"/>
              </w:rPr>
              <w:t>作为税前扣除凭证。如</w:t>
            </w:r>
            <w:r w:rsidRPr="003F342A">
              <w:rPr>
                <w:rFonts w:ascii="仿宋" w:eastAsia="仿宋" w:hAnsi="仿宋" w:cs="宋体" w:hint="eastAsia"/>
                <w:b/>
                <w:bCs/>
                <w:i/>
                <w:iCs/>
                <w:color w:val="FF0000"/>
                <w:spacing w:val="8"/>
                <w:kern w:val="0"/>
                <w:sz w:val="24"/>
                <w:szCs w:val="24"/>
                <w:u w:val="single"/>
              </w:rPr>
              <w:t>《国家税务总局关于铁路运输和邮政业营业税改征增值税发票及税控系统使用问题的公告》（国家税务总局公告2013年第76号）在第一条“发票使用问题”中规定，中国铁路总公司及其所属运输企业(含分支机构)可暂延用其自行印制的铁路票据，其他提供铁路运输服务的纳税人以及提供邮政服务的纳税人，其普通发票的使用由各省国税局确定。</w:t>
            </w:r>
          </w:p>
        </w:tc>
      </w:tr>
      <w:tr w:rsidR="003F342A" w:rsidRPr="003F342A" w:rsidTr="003F342A">
        <w:tc>
          <w:tcPr>
            <w:tcW w:w="595" w:type="pct"/>
            <w:vMerge/>
            <w:tcBorders>
              <w:top w:val="nil"/>
              <w:left w:val="single" w:sz="8" w:space="0" w:color="000000"/>
              <w:bottom w:val="single" w:sz="8" w:space="0" w:color="000000"/>
              <w:right w:val="single" w:sz="8" w:space="0" w:color="000000"/>
            </w:tcBorders>
            <w:shd w:val="clear" w:color="auto" w:fill="FFFFFF"/>
            <w:vAlign w:val="center"/>
            <w:hideMark/>
          </w:tcPr>
          <w:p w:rsidR="003F342A" w:rsidRPr="003F342A" w:rsidRDefault="003F342A" w:rsidP="003F342A">
            <w:pPr>
              <w:widowControl/>
              <w:spacing w:line="408" w:lineRule="atLeast"/>
              <w:rPr>
                <w:rFonts w:ascii="仿宋" w:eastAsia="仿宋" w:hAnsi="仿宋" w:cs="宋体"/>
                <w:color w:val="333333"/>
                <w:spacing w:val="8"/>
                <w:kern w:val="0"/>
                <w:sz w:val="24"/>
                <w:szCs w:val="24"/>
              </w:rPr>
            </w:pPr>
          </w:p>
        </w:tc>
        <w:tc>
          <w:tcPr>
            <w:tcW w:w="595" w:type="pct"/>
            <w:vMerge/>
            <w:tcBorders>
              <w:top w:val="nil"/>
              <w:left w:val="nil"/>
              <w:bottom w:val="single" w:sz="8" w:space="0" w:color="000000"/>
              <w:right w:val="single" w:sz="8" w:space="0" w:color="000000"/>
            </w:tcBorders>
            <w:shd w:val="clear" w:color="auto" w:fill="FFFFFF"/>
            <w:vAlign w:val="center"/>
            <w:hideMark/>
          </w:tcPr>
          <w:p w:rsidR="003F342A" w:rsidRPr="003F342A" w:rsidRDefault="003F342A" w:rsidP="003F342A">
            <w:pPr>
              <w:widowControl/>
              <w:spacing w:line="408" w:lineRule="atLeast"/>
              <w:rPr>
                <w:rFonts w:ascii="仿宋" w:eastAsia="仿宋" w:hAnsi="仿宋" w:cs="宋体"/>
                <w:color w:val="333333"/>
                <w:spacing w:val="8"/>
                <w:kern w:val="0"/>
                <w:sz w:val="24"/>
                <w:szCs w:val="24"/>
              </w:rPr>
            </w:pP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ind w:firstLine="30"/>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第十条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 xml:space="preserve"> </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企业在境内发生的支出项目</w:t>
            </w:r>
            <w:r w:rsidRPr="003F342A">
              <w:rPr>
                <w:rFonts w:ascii="仿宋" w:eastAsia="仿宋" w:hAnsi="仿宋" w:cs="宋体" w:hint="eastAsia"/>
                <w:b/>
                <w:bCs/>
                <w:i/>
                <w:iCs/>
                <w:color w:val="FF0000"/>
                <w:spacing w:val="8"/>
                <w:kern w:val="0"/>
                <w:sz w:val="24"/>
                <w:szCs w:val="24"/>
                <w:u w:val="single"/>
              </w:rPr>
              <w:t>不属于应税项目</w:t>
            </w:r>
            <w:r w:rsidRPr="003F342A">
              <w:rPr>
                <w:rFonts w:ascii="仿宋" w:eastAsia="仿宋" w:hAnsi="仿宋" w:cs="宋体" w:hint="eastAsia"/>
                <w:color w:val="333333"/>
                <w:spacing w:val="8"/>
                <w:kern w:val="0"/>
                <w:sz w:val="24"/>
                <w:szCs w:val="24"/>
              </w:rPr>
              <w:t>的，对方为单位的，以对方开具的发票以外的其他外部凭证作为税前扣除凭证；对方为个人的，以内部凭证作为税前扣除凭证。</w:t>
            </w:r>
          </w:p>
          <w:p w:rsidR="003F342A" w:rsidRPr="003F342A" w:rsidRDefault="003F342A" w:rsidP="003F342A">
            <w:pPr>
              <w:widowControl/>
              <w:wordWrap w:val="0"/>
              <w:spacing w:line="383" w:lineRule="atLeast"/>
              <w:ind w:firstLine="30"/>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企业在境内发生的支出项目</w:t>
            </w:r>
            <w:r w:rsidRPr="003F342A">
              <w:rPr>
                <w:rFonts w:ascii="仿宋" w:eastAsia="仿宋" w:hAnsi="仿宋" w:cs="宋体" w:hint="eastAsia"/>
                <w:color w:val="FF0000"/>
                <w:spacing w:val="8"/>
                <w:kern w:val="0"/>
                <w:sz w:val="24"/>
                <w:szCs w:val="24"/>
              </w:rPr>
              <w:t>虽不属于应税项目，但按税务总局规定可以开具发票的，可以发票作为税前扣除凭证。</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1、非应税项目的支出，如企业按照规定缴纳的</w:t>
            </w:r>
            <w:r w:rsidRPr="003F342A">
              <w:rPr>
                <w:rFonts w:ascii="仿宋" w:eastAsia="仿宋" w:hAnsi="仿宋" w:cs="宋体" w:hint="eastAsia"/>
                <w:b/>
                <w:bCs/>
                <w:i/>
                <w:iCs/>
                <w:color w:val="FF0000"/>
                <w:spacing w:val="8"/>
                <w:kern w:val="0"/>
                <w:sz w:val="24"/>
                <w:szCs w:val="24"/>
                <w:u w:val="single"/>
              </w:rPr>
              <w:t>政府性基金、行政事业性收费、税金、土地出让金、社会保险费、工会经费、住房公积金、公益事业捐赠支出等等</w:t>
            </w:r>
            <w:r w:rsidRPr="003F342A">
              <w:rPr>
                <w:rFonts w:ascii="仿宋" w:eastAsia="仿宋" w:hAnsi="仿宋" w:cs="宋体" w:hint="eastAsia"/>
                <w:color w:val="333333"/>
                <w:spacing w:val="8"/>
                <w:kern w:val="0"/>
                <w:sz w:val="24"/>
                <w:szCs w:val="24"/>
              </w:rPr>
              <w:t>，不属于应税项目的，以对方开具的</w:t>
            </w:r>
            <w:r w:rsidRPr="003F342A">
              <w:rPr>
                <w:rFonts w:ascii="仿宋" w:eastAsia="仿宋" w:hAnsi="仿宋" w:cs="宋体" w:hint="eastAsia"/>
                <w:b/>
                <w:bCs/>
                <w:i/>
                <w:iCs/>
                <w:color w:val="FF0000"/>
                <w:spacing w:val="8"/>
                <w:kern w:val="0"/>
                <w:sz w:val="24"/>
                <w:szCs w:val="24"/>
                <w:u w:val="single"/>
              </w:rPr>
              <w:t>发票以外的其他外部凭证，如财政票据、完税凭证、收款凭证等作为税前扣除凭证</w:t>
            </w:r>
            <w:r w:rsidRPr="003F342A">
              <w:rPr>
                <w:rFonts w:ascii="仿宋" w:eastAsia="仿宋" w:hAnsi="仿宋" w:cs="宋体" w:hint="eastAsia"/>
                <w:color w:val="333333"/>
                <w:spacing w:val="8"/>
                <w:kern w:val="0"/>
                <w:sz w:val="24"/>
                <w:szCs w:val="24"/>
              </w:rPr>
              <w:t>。企业对个人的支出</w:t>
            </w:r>
            <w:r w:rsidRPr="003F342A">
              <w:rPr>
                <w:rFonts w:ascii="仿宋" w:eastAsia="仿宋" w:hAnsi="仿宋" w:cs="宋体" w:hint="eastAsia"/>
                <w:color w:val="333333"/>
                <w:spacing w:val="8"/>
                <w:kern w:val="0"/>
                <w:sz w:val="24"/>
                <w:szCs w:val="24"/>
              </w:rPr>
              <w:lastRenderedPageBreak/>
              <w:t>项目，凡不属于应税项目的，</w:t>
            </w:r>
            <w:r w:rsidRPr="003F342A">
              <w:rPr>
                <w:rFonts w:ascii="仿宋" w:eastAsia="仿宋" w:hAnsi="仿宋" w:cs="宋体" w:hint="eastAsia"/>
                <w:b/>
                <w:bCs/>
                <w:i/>
                <w:iCs/>
                <w:color w:val="FF0000"/>
                <w:spacing w:val="8"/>
                <w:kern w:val="0"/>
                <w:sz w:val="24"/>
                <w:szCs w:val="24"/>
                <w:u w:val="single"/>
              </w:rPr>
              <w:t>以内部凭证作为税前扣除凭证。</w:t>
            </w:r>
          </w:p>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b/>
                <w:bCs/>
                <w:i/>
                <w:iCs/>
                <w:color w:val="FF0000"/>
                <w:spacing w:val="8"/>
                <w:kern w:val="0"/>
                <w:sz w:val="24"/>
                <w:szCs w:val="24"/>
                <w:u w:val="single"/>
              </w:rPr>
              <w:t>3、无税发票明确可以税前扣除。即《国家税务总局关于增值税发票管理若干事项的公告》（国家税务总局公告2017年第45号）附件《商品和服务税收分类与编码》中规定了部分增值税不征税项目</w:t>
            </w:r>
            <w:r w:rsidRPr="003F342A">
              <w:rPr>
                <w:rFonts w:ascii="仿宋" w:eastAsia="仿宋" w:hAnsi="仿宋" w:cs="宋体" w:hint="eastAsia"/>
                <w:color w:val="333333"/>
                <w:spacing w:val="8"/>
                <w:kern w:val="0"/>
                <w:sz w:val="24"/>
                <w:szCs w:val="24"/>
              </w:rPr>
              <w:t>如预付卡销售和充值、销售自行开发的房地产项目预收款等。总之</w:t>
            </w:r>
            <w:r w:rsidRPr="003F342A">
              <w:rPr>
                <w:rFonts w:ascii="仿宋" w:eastAsia="仿宋" w:hAnsi="仿宋" w:cs="宋体" w:hint="eastAsia"/>
                <w:b/>
                <w:bCs/>
                <w:i/>
                <w:iCs/>
                <w:color w:val="FF0000"/>
                <w:spacing w:val="8"/>
                <w:kern w:val="0"/>
                <w:sz w:val="24"/>
                <w:szCs w:val="24"/>
                <w:u w:val="single"/>
              </w:rPr>
              <w:t>企业在境内发生的支出项目不属于应税项目的，税总规定可以开具发票的，也可以这类无税发票作为税前扣除凭证。</w:t>
            </w:r>
          </w:p>
        </w:tc>
      </w:tr>
      <w:tr w:rsidR="003F342A" w:rsidRPr="003F342A" w:rsidTr="003F342A">
        <w:tc>
          <w:tcPr>
            <w:tcW w:w="595" w:type="pct"/>
            <w:vMerge/>
            <w:tcBorders>
              <w:top w:val="nil"/>
              <w:left w:val="single" w:sz="8" w:space="0" w:color="000000"/>
              <w:bottom w:val="single" w:sz="8" w:space="0" w:color="000000"/>
              <w:right w:val="single" w:sz="8" w:space="0" w:color="000000"/>
            </w:tcBorders>
            <w:shd w:val="clear" w:color="auto" w:fill="FFFFFF"/>
            <w:vAlign w:val="center"/>
            <w:hideMark/>
          </w:tcPr>
          <w:p w:rsidR="003F342A" w:rsidRPr="003F342A" w:rsidRDefault="003F342A" w:rsidP="003F342A">
            <w:pPr>
              <w:widowControl/>
              <w:spacing w:line="408" w:lineRule="atLeast"/>
              <w:rPr>
                <w:rFonts w:ascii="仿宋" w:eastAsia="仿宋" w:hAnsi="仿宋" w:cs="宋体"/>
                <w:color w:val="333333"/>
                <w:spacing w:val="8"/>
                <w:kern w:val="0"/>
                <w:sz w:val="24"/>
                <w:szCs w:val="24"/>
              </w:rPr>
            </w:pPr>
          </w:p>
        </w:tc>
        <w:tc>
          <w:tcPr>
            <w:tcW w:w="595"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境外支出</w:t>
            </w: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ind w:firstLine="30"/>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第十一条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 xml:space="preserve"> </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企业从</w:t>
            </w:r>
            <w:r w:rsidRPr="003F342A">
              <w:rPr>
                <w:rFonts w:ascii="仿宋" w:eastAsia="仿宋" w:hAnsi="仿宋" w:cs="宋体" w:hint="eastAsia"/>
                <w:b/>
                <w:bCs/>
                <w:i/>
                <w:iCs/>
                <w:color w:val="FF0000"/>
                <w:spacing w:val="8"/>
                <w:kern w:val="0"/>
                <w:sz w:val="24"/>
                <w:szCs w:val="24"/>
                <w:u w:val="single"/>
              </w:rPr>
              <w:t>境外购进货物或者劳务发生的支出</w:t>
            </w:r>
            <w:r w:rsidRPr="003F342A">
              <w:rPr>
                <w:rFonts w:ascii="仿宋" w:eastAsia="仿宋" w:hAnsi="仿宋" w:cs="宋体" w:hint="eastAsia"/>
                <w:color w:val="333333"/>
                <w:spacing w:val="8"/>
                <w:kern w:val="0"/>
                <w:sz w:val="24"/>
                <w:szCs w:val="24"/>
              </w:rPr>
              <w:t>，以对方开</w:t>
            </w:r>
            <w:r w:rsidRPr="003F342A">
              <w:rPr>
                <w:rFonts w:ascii="仿宋" w:eastAsia="仿宋" w:hAnsi="仿宋" w:cs="宋体" w:hint="eastAsia"/>
                <w:b/>
                <w:bCs/>
                <w:i/>
                <w:iCs/>
                <w:color w:val="FF0000"/>
                <w:spacing w:val="8"/>
                <w:kern w:val="0"/>
                <w:sz w:val="24"/>
                <w:szCs w:val="24"/>
                <w:u w:val="single"/>
              </w:rPr>
              <w:t>具的发票或者具有发票性质的收款凭证、相关税费缴纳凭证作为税前扣除凭证。</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1、从境外购进货物或者劳务等如企业员工到境外出差的差旅费、到境外参加展会等所发生的支出，应以对方开具的发票或者具有发票性质的收款凭证作为税前扣除凭证。由于购进境外货物或者劳务，除购买价格外还会伴随发生一些税费发生，因此，该条规定，企业从境外购进货物或者劳务等支出的税前扣除凭证，还包括相关税费缴纳凭证。</w:t>
            </w:r>
          </w:p>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2、根据《国务院关于修改&lt;中华人民共和国发票管理办法&gt;的决定》（中华人民共和国国务院令第587</w:t>
            </w:r>
            <w:r w:rsidRPr="003F342A">
              <w:rPr>
                <w:rFonts w:ascii="仿宋" w:eastAsia="仿宋" w:hAnsi="仿宋" w:cs="宋体" w:hint="eastAsia"/>
                <w:color w:val="333333"/>
                <w:spacing w:val="8"/>
                <w:kern w:val="0"/>
                <w:sz w:val="24"/>
                <w:szCs w:val="24"/>
              </w:rPr>
              <w:lastRenderedPageBreak/>
              <w:t>号）</w:t>
            </w:r>
            <w:r w:rsidRPr="003F342A">
              <w:rPr>
                <w:rFonts w:ascii="仿宋" w:eastAsia="仿宋" w:hAnsi="仿宋" w:cs="宋体" w:hint="eastAsia"/>
                <w:b/>
                <w:bCs/>
                <w:i/>
                <w:iCs/>
                <w:color w:val="00B0F0"/>
                <w:spacing w:val="8"/>
                <w:kern w:val="0"/>
                <w:sz w:val="24"/>
                <w:szCs w:val="24"/>
                <w:u w:val="single"/>
              </w:rPr>
              <w:t>第三十三条规定：单位和个人从中国境外取得的与纳税有关的发票或者凭证，税务机关在纳税审查时有疑义的，可以要求其提供境外公证机构或者注册会计师的确认证明，经税务机关审核认可后，方可作为记账核算的凭证。</w:t>
            </w:r>
          </w:p>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3、这一境外业务支出扣除凭证的规定在实务操作中预期仍然会存争议，如如何理解“境外发票”、境外购买的一些小额零星货物如何进行税前扣除等。、</w:t>
            </w:r>
          </w:p>
        </w:tc>
      </w:tr>
      <w:tr w:rsidR="003F342A" w:rsidRPr="003F342A" w:rsidTr="003F342A">
        <w:tc>
          <w:tcPr>
            <w:tcW w:w="595" w:type="pct"/>
            <w:vMerge/>
            <w:tcBorders>
              <w:top w:val="nil"/>
              <w:left w:val="single" w:sz="8" w:space="0" w:color="000000"/>
              <w:bottom w:val="single" w:sz="8" w:space="0" w:color="000000"/>
              <w:right w:val="single" w:sz="8" w:space="0" w:color="000000"/>
            </w:tcBorders>
            <w:shd w:val="clear" w:color="auto" w:fill="FFFFFF"/>
            <w:vAlign w:val="center"/>
            <w:hideMark/>
          </w:tcPr>
          <w:p w:rsidR="003F342A" w:rsidRPr="003F342A" w:rsidRDefault="003F342A" w:rsidP="003F342A">
            <w:pPr>
              <w:widowControl/>
              <w:spacing w:line="408" w:lineRule="atLeast"/>
              <w:rPr>
                <w:rFonts w:ascii="仿宋" w:eastAsia="仿宋" w:hAnsi="仿宋" w:cs="宋体"/>
                <w:color w:val="333333"/>
                <w:spacing w:val="8"/>
                <w:kern w:val="0"/>
                <w:sz w:val="24"/>
                <w:szCs w:val="24"/>
              </w:rPr>
            </w:pPr>
          </w:p>
        </w:tc>
        <w:tc>
          <w:tcPr>
            <w:tcW w:w="595"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不合规发票和不合规其他外部凭证范围的界定</w:t>
            </w: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ind w:firstLine="30"/>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第十二条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 xml:space="preserve"> 企业取得私自印制、伪造、变造、作废、开票方非法取得、</w:t>
            </w:r>
            <w:r w:rsidRPr="003F342A">
              <w:rPr>
                <w:rFonts w:ascii="仿宋" w:eastAsia="仿宋" w:hAnsi="仿宋" w:cs="宋体" w:hint="eastAsia"/>
                <w:b/>
                <w:bCs/>
                <w:i/>
                <w:iCs/>
                <w:color w:val="FF0000"/>
                <w:spacing w:val="8"/>
                <w:kern w:val="0"/>
                <w:sz w:val="24"/>
                <w:szCs w:val="24"/>
                <w:u w:val="single"/>
              </w:rPr>
              <w:t>虚开、</w:t>
            </w:r>
            <w:r w:rsidRPr="003F342A">
              <w:rPr>
                <w:rFonts w:ascii="仿宋" w:eastAsia="仿宋" w:hAnsi="仿宋" w:cs="宋体" w:hint="eastAsia"/>
                <w:color w:val="FF0000"/>
                <w:spacing w:val="8"/>
                <w:kern w:val="0"/>
                <w:sz w:val="24"/>
                <w:szCs w:val="24"/>
              </w:rPr>
              <w:t>填写不规范等不符合规定的发票（以下简称“不合规发票”）</w:t>
            </w:r>
            <w:r w:rsidRPr="003F342A">
              <w:rPr>
                <w:rFonts w:ascii="仿宋" w:eastAsia="仿宋" w:hAnsi="仿宋" w:cs="宋体" w:hint="eastAsia"/>
                <w:color w:val="333333"/>
                <w:spacing w:val="8"/>
                <w:kern w:val="0"/>
                <w:sz w:val="24"/>
                <w:szCs w:val="24"/>
              </w:rPr>
              <w:t>，以及取得</w:t>
            </w:r>
            <w:r w:rsidRPr="003F342A">
              <w:rPr>
                <w:rFonts w:ascii="仿宋" w:eastAsia="仿宋" w:hAnsi="仿宋" w:cs="宋体" w:hint="eastAsia"/>
                <w:b/>
                <w:bCs/>
                <w:i/>
                <w:iCs/>
                <w:color w:val="FF0000"/>
                <w:spacing w:val="8"/>
                <w:kern w:val="0"/>
                <w:sz w:val="24"/>
                <w:szCs w:val="24"/>
                <w:u w:val="single"/>
              </w:rPr>
              <w:t>不符合国家法律、法规等相关规定的其他外部凭证（以下简称“不合规其他外部凭证”），不得作为税前扣除凭证。</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 xml:space="preserve">一般情形下不合规发票和不合规其他外部凭证是不能作为税前扣除凭证的。但下面的条款中却对该类不合规凭证是否能够税前扣除作了特殊规定，特殊规定充分体现了税法规定的基本原则 </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“实际发生”，同时也有效解决了征纳双方的一直以来存在的争议，从而最大限度维护了纳税人的合法权益。这一规定也是该《办法》特别值得点赞的地方。</w:t>
            </w:r>
          </w:p>
        </w:tc>
      </w:tr>
      <w:tr w:rsidR="003F342A" w:rsidRPr="003F342A" w:rsidTr="003F342A">
        <w:tc>
          <w:tcPr>
            <w:tcW w:w="595" w:type="pct"/>
            <w:vMerge w:val="restart"/>
            <w:tcBorders>
              <w:top w:val="nil"/>
              <w:left w:val="single" w:sz="8" w:space="0" w:color="000000"/>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特许情形</w:t>
            </w:r>
          </w:p>
        </w:tc>
        <w:tc>
          <w:tcPr>
            <w:tcW w:w="595"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实际发生且531之前能换开合规</w:t>
            </w:r>
            <w:r w:rsidRPr="003F342A">
              <w:rPr>
                <w:rFonts w:ascii="仿宋" w:eastAsia="仿宋" w:hAnsi="仿宋" w:cs="宋体" w:hint="eastAsia"/>
                <w:b/>
                <w:bCs/>
                <w:color w:val="FF0000"/>
                <w:spacing w:val="8"/>
                <w:kern w:val="0"/>
                <w:sz w:val="24"/>
                <w:szCs w:val="24"/>
              </w:rPr>
              <w:lastRenderedPageBreak/>
              <w:t>凭证的可以税前扣除</w:t>
            </w: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lastRenderedPageBreak/>
              <w:t>第十三条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 xml:space="preserve"> 企业应当取得而未取得发票、其他外部凭证或者取得不合规发票、不合规其他外部凭证的，</w:t>
            </w:r>
            <w:r w:rsidRPr="003F342A">
              <w:rPr>
                <w:rFonts w:ascii="仿宋" w:eastAsia="仿宋" w:hAnsi="仿宋" w:cs="宋体" w:hint="eastAsia"/>
                <w:b/>
                <w:bCs/>
                <w:i/>
                <w:iCs/>
                <w:color w:val="FF0000"/>
                <w:spacing w:val="8"/>
                <w:kern w:val="0"/>
                <w:sz w:val="24"/>
                <w:szCs w:val="24"/>
                <w:u w:val="single"/>
              </w:rPr>
              <w:t>若支出真实且已实际</w:t>
            </w:r>
            <w:r w:rsidRPr="003F342A">
              <w:rPr>
                <w:rFonts w:ascii="仿宋" w:eastAsia="仿宋" w:hAnsi="仿宋" w:cs="宋体" w:hint="eastAsia"/>
                <w:b/>
                <w:bCs/>
                <w:i/>
                <w:iCs/>
                <w:color w:val="FF0000"/>
                <w:spacing w:val="8"/>
                <w:kern w:val="0"/>
                <w:sz w:val="24"/>
                <w:szCs w:val="24"/>
                <w:u w:val="single"/>
              </w:rPr>
              <w:lastRenderedPageBreak/>
              <w:t>发生，应当在当年度汇算清缴期结束前，要求对方补开、换开发票、其他外部凭证。补开、换开后的发票、其他外部凭证符合规定的，可以作为税前扣除凭证。</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lastRenderedPageBreak/>
              <w:t>1、企业应当取得而未取得发票、其他外部凭证税务处理。企业在汇算清缴期结束前</w:t>
            </w:r>
            <w:r w:rsidRPr="003F342A">
              <w:rPr>
                <w:rFonts w:ascii="仿宋" w:eastAsia="仿宋" w:hAnsi="仿宋" w:cs="宋体" w:hint="eastAsia"/>
                <w:b/>
                <w:bCs/>
                <w:i/>
                <w:iCs/>
                <w:color w:val="FF0000"/>
                <w:spacing w:val="8"/>
                <w:kern w:val="0"/>
                <w:sz w:val="24"/>
                <w:szCs w:val="24"/>
                <w:u w:val="single"/>
              </w:rPr>
              <w:t>（531前）</w:t>
            </w:r>
            <w:r w:rsidRPr="003F342A">
              <w:rPr>
                <w:rFonts w:ascii="仿宋" w:eastAsia="仿宋" w:hAnsi="仿宋" w:cs="宋体" w:hint="eastAsia"/>
                <w:color w:val="333333"/>
                <w:spacing w:val="8"/>
                <w:kern w:val="0"/>
                <w:sz w:val="24"/>
                <w:szCs w:val="24"/>
              </w:rPr>
              <w:t>应当取得而未取得发票、其他外部</w:t>
            </w:r>
            <w:r w:rsidRPr="003F342A">
              <w:rPr>
                <w:rFonts w:ascii="仿宋" w:eastAsia="仿宋" w:hAnsi="仿宋" w:cs="宋体" w:hint="eastAsia"/>
                <w:color w:val="333333"/>
                <w:spacing w:val="8"/>
                <w:kern w:val="0"/>
                <w:sz w:val="24"/>
                <w:szCs w:val="24"/>
              </w:rPr>
              <w:lastRenderedPageBreak/>
              <w:t>凭证或者未能按本条规定提供证实支出真实性的相关资料的支出，不得在发生年度税前扣除。企业应按照发票管理办法及其实施细则和有关部门规定的要求，及时取得符合规定的发票、其他外部凭证。</w:t>
            </w:r>
          </w:p>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2、企业取得不合规发票、不合规其他外部凭证，是企业在经营活动中可能遇到的问题，这种情形不符合税前扣除凭证应当遵循的合法性原则，但若不区分情况一概不允许税前扣除，则不利于维护纳税人的正当权益。因此本条规定，企业取得不合规发票、不合规其他外部凭证，若支出真实且已实际发生，允许企业在当年度汇算清缴期结束前换开符合规定的发票、其他外部凭证。因此，企业应在当年度汇算清缴期结束前</w:t>
            </w:r>
            <w:r w:rsidRPr="003F342A">
              <w:rPr>
                <w:rFonts w:ascii="仿宋" w:eastAsia="仿宋" w:hAnsi="仿宋" w:cs="宋体" w:hint="eastAsia"/>
                <w:b/>
                <w:bCs/>
                <w:i/>
                <w:iCs/>
                <w:color w:val="FF0000"/>
                <w:spacing w:val="8"/>
                <w:kern w:val="0"/>
                <w:sz w:val="24"/>
                <w:szCs w:val="24"/>
                <w:u w:val="single"/>
              </w:rPr>
              <w:t>（531之前）全面清查税前扣除凭证是否符合规定，一旦发现问题，及时补开、换开符合规定的发票、其他外部凭证。</w:t>
            </w:r>
          </w:p>
        </w:tc>
      </w:tr>
      <w:tr w:rsidR="003F342A" w:rsidRPr="003F342A" w:rsidTr="003F342A">
        <w:tc>
          <w:tcPr>
            <w:tcW w:w="595" w:type="pct"/>
            <w:vMerge/>
            <w:tcBorders>
              <w:top w:val="nil"/>
              <w:left w:val="single" w:sz="8" w:space="0" w:color="000000"/>
              <w:bottom w:val="single" w:sz="8" w:space="0" w:color="000000"/>
              <w:right w:val="single" w:sz="8" w:space="0" w:color="000000"/>
            </w:tcBorders>
            <w:shd w:val="clear" w:color="auto" w:fill="FFFFFF"/>
            <w:vAlign w:val="center"/>
            <w:hideMark/>
          </w:tcPr>
          <w:p w:rsidR="003F342A" w:rsidRPr="003F342A" w:rsidRDefault="003F342A" w:rsidP="003F342A">
            <w:pPr>
              <w:widowControl/>
              <w:spacing w:line="408" w:lineRule="atLeast"/>
              <w:rPr>
                <w:rFonts w:ascii="仿宋" w:eastAsia="仿宋" w:hAnsi="仿宋" w:cs="宋体"/>
                <w:color w:val="333333"/>
                <w:spacing w:val="8"/>
                <w:kern w:val="0"/>
                <w:sz w:val="24"/>
                <w:szCs w:val="24"/>
              </w:rPr>
            </w:pPr>
          </w:p>
        </w:tc>
        <w:tc>
          <w:tcPr>
            <w:tcW w:w="595"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客观情形不能换开合规凭证的处理</w:t>
            </w: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第十四条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 xml:space="preserve"> 企业在补开、换开发票、其他外部凭证过程中，因对方</w:t>
            </w:r>
            <w:r w:rsidRPr="003F342A">
              <w:rPr>
                <w:rFonts w:ascii="仿宋" w:eastAsia="仿宋" w:hAnsi="仿宋" w:cs="宋体" w:hint="eastAsia"/>
                <w:b/>
                <w:bCs/>
                <w:i/>
                <w:iCs/>
                <w:color w:val="FF0000"/>
                <w:spacing w:val="8"/>
                <w:kern w:val="0"/>
                <w:sz w:val="24"/>
                <w:szCs w:val="24"/>
                <w:u w:val="single"/>
              </w:rPr>
              <w:t>注销、撤销、依法被吊销营业执照、被税务机关认定为非正常户等特殊原因无法补开、</w:t>
            </w:r>
            <w:r w:rsidRPr="003F342A">
              <w:rPr>
                <w:rFonts w:ascii="仿宋" w:eastAsia="仿宋" w:hAnsi="仿宋" w:cs="宋体" w:hint="eastAsia"/>
                <w:b/>
                <w:bCs/>
                <w:i/>
                <w:iCs/>
                <w:color w:val="FF0000"/>
                <w:spacing w:val="8"/>
                <w:kern w:val="0"/>
                <w:sz w:val="24"/>
                <w:szCs w:val="24"/>
                <w:u w:val="single"/>
              </w:rPr>
              <w:lastRenderedPageBreak/>
              <w:t>换开发票、其他外部凭证的，可凭以下资料证实支出真实性后，其支出允许税前扣除：</w:t>
            </w:r>
          </w:p>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b/>
                <w:bCs/>
                <w:i/>
                <w:iCs/>
                <w:color w:val="FF0000"/>
                <w:spacing w:val="8"/>
                <w:kern w:val="0"/>
                <w:sz w:val="24"/>
                <w:szCs w:val="24"/>
                <w:u w:val="single"/>
              </w:rPr>
              <w:t>（一）无法补开、换开发票、其他外部凭证原因的证明资料（包括工商注销、机构撤销、列入非正常经营户、破产公告等证明资料）；</w:t>
            </w:r>
          </w:p>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b/>
                <w:bCs/>
                <w:i/>
                <w:iCs/>
                <w:color w:val="FF0000"/>
                <w:spacing w:val="8"/>
                <w:kern w:val="0"/>
                <w:sz w:val="24"/>
                <w:szCs w:val="24"/>
                <w:u w:val="single"/>
              </w:rPr>
              <w:t>（二）相关业务活动的合同或者协议；</w:t>
            </w:r>
          </w:p>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b/>
                <w:bCs/>
                <w:i/>
                <w:iCs/>
                <w:color w:val="FF0000"/>
                <w:spacing w:val="8"/>
                <w:kern w:val="0"/>
                <w:sz w:val="24"/>
                <w:szCs w:val="24"/>
                <w:u w:val="single"/>
              </w:rPr>
              <w:t>（三）采用非现金方式支付的付款凭证；</w:t>
            </w:r>
          </w:p>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FF0000"/>
                <w:spacing w:val="8"/>
                <w:kern w:val="0"/>
                <w:sz w:val="24"/>
                <w:szCs w:val="24"/>
              </w:rPr>
              <w:t>（四）货物运输的证明资料；</w:t>
            </w:r>
          </w:p>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FF0000"/>
                <w:spacing w:val="8"/>
                <w:kern w:val="0"/>
                <w:sz w:val="24"/>
                <w:szCs w:val="24"/>
              </w:rPr>
              <w:t>（五）货物入库、出库内部凭证；</w:t>
            </w:r>
          </w:p>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FF0000"/>
                <w:spacing w:val="8"/>
                <w:kern w:val="0"/>
                <w:sz w:val="24"/>
                <w:szCs w:val="24"/>
              </w:rPr>
              <w:t>（六）企业会计核算记录以及其他资料。</w:t>
            </w:r>
          </w:p>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前款第一项至第三项为必备资料。</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lastRenderedPageBreak/>
              <w:t>1、企业因对方注销、撤销、依法被吊销营业执照、</w:t>
            </w:r>
            <w:r w:rsidRPr="003F342A">
              <w:rPr>
                <w:rFonts w:ascii="仿宋" w:eastAsia="仿宋" w:hAnsi="仿宋" w:cs="宋体" w:hint="eastAsia"/>
                <w:b/>
                <w:bCs/>
                <w:i/>
                <w:iCs/>
                <w:color w:val="FF0000"/>
                <w:spacing w:val="8"/>
                <w:kern w:val="0"/>
                <w:sz w:val="24"/>
                <w:szCs w:val="24"/>
                <w:u w:val="single"/>
              </w:rPr>
              <w:t>被税务机关认定为非正常户</w:t>
            </w:r>
            <w:r w:rsidRPr="003F342A">
              <w:rPr>
                <w:rFonts w:ascii="仿宋" w:eastAsia="仿宋" w:hAnsi="仿宋" w:cs="宋体" w:hint="eastAsia"/>
                <w:color w:val="333333"/>
                <w:spacing w:val="8"/>
                <w:kern w:val="0"/>
                <w:sz w:val="24"/>
                <w:szCs w:val="24"/>
              </w:rPr>
              <w:t>等特殊原因而无法补开、换开发票、其他外部凭证的，该条规定了六</w:t>
            </w:r>
            <w:r w:rsidRPr="003F342A">
              <w:rPr>
                <w:rFonts w:ascii="仿宋" w:eastAsia="仿宋" w:hAnsi="仿宋" w:cs="宋体" w:hint="eastAsia"/>
                <w:color w:val="333333"/>
                <w:spacing w:val="8"/>
                <w:kern w:val="0"/>
                <w:sz w:val="24"/>
                <w:szCs w:val="24"/>
              </w:rPr>
              <w:lastRenderedPageBreak/>
              <w:t>项可证明支出真实性的资料，其中第一至三项为必备资料，企业可按照该条的规定，在规定的期限准备证实支出真实性的相关资料后，其支出允许税前扣除。</w:t>
            </w:r>
          </w:p>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b/>
                <w:bCs/>
                <w:i/>
                <w:iCs/>
                <w:color w:val="FF0000"/>
                <w:spacing w:val="8"/>
                <w:kern w:val="0"/>
                <w:sz w:val="24"/>
                <w:szCs w:val="24"/>
                <w:u w:val="single"/>
              </w:rPr>
              <w:t>2、综合《办法》的以上规定发现《办法》明确了税前扣除的以下通路：（1)不合规发票或不合规其他外部凭证不得作为税前扣除凭证; （2)但能补开换开合规发票、合规其他外部凭证允许税前扣除；（3)客观原因不能补开换开但能提供支出真实性的证明资料允许税前扣除，该通路既符合企业所得税法“实际发生”的基本原则，同时又有效地保障了纳税人的合法权益。非常值得点赞！！！</w:t>
            </w:r>
          </w:p>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b/>
                <w:bCs/>
                <w:i/>
                <w:iCs/>
                <w:color w:val="FF0000"/>
                <w:spacing w:val="8"/>
                <w:kern w:val="0"/>
                <w:sz w:val="24"/>
                <w:szCs w:val="24"/>
                <w:u w:val="single"/>
              </w:rPr>
              <w:t>3、特别提醒前三项中第一项是客观存在前题，但是企业自证是否存在问题等；第二项是基本的书面证据，所以企业业务发生时别忘了签署并保存好协议或合同；第三项是客观支付凭证，只要是非现金支付如银行等，总之就是要有合规客观证据证明。这一规定也终于在一定程度上打破了“完全凭票”扣除的规定，可以理解这些凭证也是可以作为税前</w:t>
            </w:r>
            <w:r w:rsidRPr="003F342A">
              <w:rPr>
                <w:rFonts w:ascii="仿宋" w:eastAsia="仿宋" w:hAnsi="仿宋" w:cs="宋体" w:hint="eastAsia"/>
                <w:b/>
                <w:bCs/>
                <w:i/>
                <w:iCs/>
                <w:color w:val="FF0000"/>
                <w:spacing w:val="8"/>
                <w:kern w:val="0"/>
                <w:sz w:val="24"/>
                <w:szCs w:val="24"/>
                <w:u w:val="single"/>
              </w:rPr>
              <w:lastRenderedPageBreak/>
              <w:t>扣除的有效凭证的，当然前提是确实支出要“实际发生”。</w:t>
            </w:r>
          </w:p>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b/>
                <w:bCs/>
                <w:i/>
                <w:iCs/>
                <w:color w:val="FF0000"/>
                <w:spacing w:val="8"/>
                <w:kern w:val="0"/>
                <w:sz w:val="24"/>
                <w:szCs w:val="24"/>
                <w:u w:val="single"/>
              </w:rPr>
              <w:t>4、需要特别关注的是：第十二条“不合规发票”的范围界定中包含了“虚开发票”，而根据该条规定，如果纳税人能够通过提供该条所规定的证据资料证实支出真实性后其支出是允许税前扣除的。这一规定是否也就解决了税企双方一直争议的“善意取得的虚开增值税专用发票”是否能够税前扣除的问题。</w:t>
            </w:r>
          </w:p>
        </w:tc>
      </w:tr>
      <w:tr w:rsidR="003F342A" w:rsidRPr="003F342A" w:rsidTr="003F342A">
        <w:tc>
          <w:tcPr>
            <w:tcW w:w="595" w:type="pct"/>
            <w:vMerge/>
            <w:tcBorders>
              <w:top w:val="nil"/>
              <w:left w:val="single" w:sz="8" w:space="0" w:color="000000"/>
              <w:bottom w:val="single" w:sz="8" w:space="0" w:color="000000"/>
              <w:right w:val="single" w:sz="8" w:space="0" w:color="000000"/>
            </w:tcBorders>
            <w:shd w:val="clear" w:color="auto" w:fill="FFFFFF"/>
            <w:vAlign w:val="center"/>
            <w:hideMark/>
          </w:tcPr>
          <w:p w:rsidR="003F342A" w:rsidRPr="003F342A" w:rsidRDefault="003F342A" w:rsidP="003F342A">
            <w:pPr>
              <w:widowControl/>
              <w:spacing w:line="408" w:lineRule="atLeast"/>
              <w:rPr>
                <w:rFonts w:ascii="仿宋" w:eastAsia="仿宋" w:hAnsi="仿宋" w:cs="宋体"/>
                <w:color w:val="333333"/>
                <w:spacing w:val="8"/>
                <w:kern w:val="0"/>
                <w:sz w:val="24"/>
                <w:szCs w:val="24"/>
              </w:rPr>
            </w:pPr>
          </w:p>
        </w:tc>
        <w:tc>
          <w:tcPr>
            <w:tcW w:w="595"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汇缴结束后的补救措施</w:t>
            </w: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第十五条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 xml:space="preserve"> 汇算清缴期结束后，税务机关发现企业应当取得而未取得发票、其他外部凭证或者取得不合规发票、不合规其他外部凭证并且告知企业的，</w:t>
            </w:r>
            <w:r w:rsidRPr="003F342A">
              <w:rPr>
                <w:rFonts w:ascii="仿宋" w:eastAsia="仿宋" w:hAnsi="仿宋" w:cs="宋体" w:hint="eastAsia"/>
                <w:b/>
                <w:bCs/>
                <w:i/>
                <w:iCs/>
                <w:color w:val="FF0000"/>
                <w:spacing w:val="8"/>
                <w:kern w:val="0"/>
                <w:sz w:val="24"/>
                <w:szCs w:val="24"/>
                <w:u w:val="single"/>
              </w:rPr>
              <w:t>企业应当自被告知之日起60日内补开、换开符合规定的发票、其他外部凭证。其中，因对方特殊原因无法补开、换开发票、其他外部凭证的，企业应当按照本办法第十四条的规定，自被告知之日起60日内提供可以证实其支出真实性的相关资料</w:t>
            </w:r>
            <w:r w:rsidRPr="003F342A">
              <w:rPr>
                <w:rFonts w:ascii="仿宋" w:eastAsia="仿宋" w:hAnsi="仿宋" w:cs="宋体" w:hint="eastAsia"/>
                <w:color w:val="333333"/>
                <w:spacing w:val="8"/>
                <w:kern w:val="0"/>
                <w:sz w:val="24"/>
                <w:szCs w:val="24"/>
              </w:rPr>
              <w:t>。</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税务机关在当年度汇算清缴期后一般会按照后续管理有关要求开展企业所得税的核查评估，发现企业应当取得而未取得发票、其他外部凭证或者取得不合规发票、不合规其他外部凭证的，允许企业在自被告知之日起60日内补开、换开合规发票、合规其他外部凭证。但是企业未在规定的期限补开、换开合规发票、合规其他外部凭证也未能按第十四条规定提供证实支出真实性的相关资料的，</w:t>
            </w:r>
            <w:r w:rsidRPr="003F342A">
              <w:rPr>
                <w:rFonts w:ascii="仿宋" w:eastAsia="仿宋" w:hAnsi="仿宋" w:cs="宋体" w:hint="eastAsia"/>
                <w:b/>
                <w:bCs/>
                <w:i/>
                <w:iCs/>
                <w:color w:val="FF0000"/>
                <w:spacing w:val="8"/>
                <w:kern w:val="0"/>
                <w:sz w:val="24"/>
                <w:szCs w:val="24"/>
                <w:u w:val="single"/>
              </w:rPr>
              <w:t>相应支出不得在发生年度税前扣除，并按照税收征管法相关规定加收滞纳金。</w:t>
            </w:r>
          </w:p>
        </w:tc>
      </w:tr>
      <w:tr w:rsidR="003F342A" w:rsidRPr="003F342A" w:rsidTr="003F342A">
        <w:tc>
          <w:tcPr>
            <w:tcW w:w="595" w:type="pct"/>
            <w:vMerge/>
            <w:tcBorders>
              <w:top w:val="nil"/>
              <w:left w:val="single" w:sz="8" w:space="0" w:color="000000"/>
              <w:bottom w:val="single" w:sz="8" w:space="0" w:color="000000"/>
              <w:right w:val="single" w:sz="8" w:space="0" w:color="000000"/>
            </w:tcBorders>
            <w:shd w:val="clear" w:color="auto" w:fill="FFFFFF"/>
            <w:vAlign w:val="center"/>
            <w:hideMark/>
          </w:tcPr>
          <w:p w:rsidR="003F342A" w:rsidRPr="003F342A" w:rsidRDefault="003F342A" w:rsidP="003F342A">
            <w:pPr>
              <w:widowControl/>
              <w:spacing w:line="408" w:lineRule="atLeast"/>
              <w:rPr>
                <w:rFonts w:ascii="仿宋" w:eastAsia="仿宋" w:hAnsi="仿宋" w:cs="宋体"/>
                <w:color w:val="333333"/>
                <w:spacing w:val="8"/>
                <w:kern w:val="0"/>
                <w:sz w:val="24"/>
                <w:szCs w:val="24"/>
              </w:rPr>
            </w:pPr>
          </w:p>
        </w:tc>
        <w:tc>
          <w:tcPr>
            <w:tcW w:w="595"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最终当年不能税前扣除的情形</w:t>
            </w: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第十六条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企业</w:t>
            </w:r>
            <w:r w:rsidRPr="003F342A">
              <w:rPr>
                <w:rFonts w:ascii="仿宋" w:eastAsia="仿宋" w:hAnsi="仿宋" w:cs="宋体" w:hint="eastAsia"/>
                <w:b/>
                <w:bCs/>
                <w:i/>
                <w:iCs/>
                <w:color w:val="FF0000"/>
                <w:spacing w:val="8"/>
                <w:kern w:val="0"/>
                <w:sz w:val="24"/>
                <w:szCs w:val="24"/>
                <w:u w:val="single"/>
              </w:rPr>
              <w:t>在规定的期限</w:t>
            </w:r>
            <w:r w:rsidRPr="003F342A">
              <w:rPr>
                <w:rFonts w:ascii="仿宋" w:eastAsia="仿宋" w:hAnsi="仿宋" w:cs="宋体" w:hint="eastAsia"/>
                <w:color w:val="333333"/>
                <w:spacing w:val="8"/>
                <w:kern w:val="0"/>
                <w:sz w:val="24"/>
                <w:szCs w:val="24"/>
              </w:rPr>
              <w:t>未能补开、换开符合规定的发票、其他外部凭证，并且</w:t>
            </w:r>
            <w:r w:rsidRPr="003F342A">
              <w:rPr>
                <w:rFonts w:ascii="仿宋" w:eastAsia="仿宋" w:hAnsi="仿宋" w:cs="宋体" w:hint="eastAsia"/>
                <w:b/>
                <w:bCs/>
                <w:i/>
                <w:iCs/>
                <w:color w:val="FF0000"/>
                <w:spacing w:val="8"/>
                <w:kern w:val="0"/>
                <w:sz w:val="24"/>
                <w:szCs w:val="24"/>
                <w:u w:val="single"/>
              </w:rPr>
              <w:t>未能按照本办法第十四条的规定提供相关资料证实其支出真实性的，相应支出不得在发生年度税前扣除。</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再一次明确不能在</w:t>
            </w:r>
            <w:r w:rsidRPr="003F342A">
              <w:rPr>
                <w:rFonts w:ascii="仿宋" w:eastAsia="仿宋" w:hAnsi="仿宋" w:cs="宋体" w:hint="eastAsia"/>
                <w:b/>
                <w:bCs/>
                <w:i/>
                <w:iCs/>
                <w:color w:val="FF0000"/>
                <w:spacing w:val="8"/>
                <w:kern w:val="0"/>
                <w:sz w:val="24"/>
                <w:szCs w:val="24"/>
                <w:u w:val="single"/>
              </w:rPr>
              <w:t>发生年度</w:t>
            </w:r>
            <w:r w:rsidRPr="003F342A">
              <w:rPr>
                <w:rFonts w:ascii="仿宋" w:eastAsia="仿宋" w:hAnsi="仿宋" w:cs="宋体" w:hint="eastAsia"/>
                <w:color w:val="333333"/>
                <w:spacing w:val="8"/>
                <w:kern w:val="0"/>
                <w:sz w:val="24"/>
                <w:szCs w:val="24"/>
              </w:rPr>
              <w:t>税前扣除的情形。</w:t>
            </w:r>
          </w:p>
        </w:tc>
      </w:tr>
      <w:tr w:rsidR="003F342A" w:rsidRPr="003F342A" w:rsidTr="003F342A">
        <w:tc>
          <w:tcPr>
            <w:tcW w:w="595" w:type="pct"/>
            <w:vMerge/>
            <w:tcBorders>
              <w:top w:val="nil"/>
              <w:left w:val="single" w:sz="8" w:space="0" w:color="000000"/>
              <w:bottom w:val="single" w:sz="8" w:space="0" w:color="000000"/>
              <w:right w:val="single" w:sz="8" w:space="0" w:color="000000"/>
            </w:tcBorders>
            <w:shd w:val="clear" w:color="auto" w:fill="FFFFFF"/>
            <w:vAlign w:val="center"/>
            <w:hideMark/>
          </w:tcPr>
          <w:p w:rsidR="003F342A" w:rsidRPr="003F342A" w:rsidRDefault="003F342A" w:rsidP="003F342A">
            <w:pPr>
              <w:widowControl/>
              <w:spacing w:line="408" w:lineRule="atLeast"/>
              <w:rPr>
                <w:rFonts w:ascii="仿宋" w:eastAsia="仿宋" w:hAnsi="仿宋" w:cs="宋体"/>
                <w:color w:val="333333"/>
                <w:spacing w:val="8"/>
                <w:kern w:val="0"/>
                <w:sz w:val="24"/>
                <w:szCs w:val="24"/>
              </w:rPr>
            </w:pPr>
          </w:p>
        </w:tc>
        <w:tc>
          <w:tcPr>
            <w:tcW w:w="595"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以后年度追补扣除</w:t>
            </w: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第十七条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除发生本办法第十五条规定的情形外，企业以前年度应当取得而未取得发票、其他外部凭证，</w:t>
            </w:r>
            <w:r w:rsidRPr="003F342A">
              <w:rPr>
                <w:rFonts w:ascii="仿宋" w:eastAsia="仿宋" w:hAnsi="仿宋" w:cs="宋体" w:hint="eastAsia"/>
                <w:b/>
                <w:bCs/>
                <w:i/>
                <w:iCs/>
                <w:color w:val="FF0000"/>
                <w:spacing w:val="8"/>
                <w:kern w:val="0"/>
                <w:sz w:val="24"/>
                <w:szCs w:val="24"/>
                <w:u w:val="single"/>
              </w:rPr>
              <w:t>且相应支出在该年度没有税前扣除的，</w:t>
            </w:r>
            <w:r w:rsidRPr="003F342A">
              <w:rPr>
                <w:rFonts w:ascii="仿宋" w:eastAsia="仿宋" w:hAnsi="仿宋" w:cs="宋体" w:hint="eastAsia"/>
                <w:color w:val="333333"/>
                <w:spacing w:val="8"/>
                <w:kern w:val="0"/>
                <w:sz w:val="24"/>
                <w:szCs w:val="24"/>
              </w:rPr>
              <w:t>在以后年度取得符合规定的发票、其他外部凭证或者按照本办法第十四条的规定提供可以证实其支出真实性的相关资料，</w:t>
            </w:r>
            <w:r w:rsidRPr="003F342A">
              <w:rPr>
                <w:rFonts w:ascii="仿宋" w:eastAsia="仿宋" w:hAnsi="仿宋" w:cs="宋体" w:hint="eastAsia"/>
                <w:b/>
                <w:bCs/>
                <w:i/>
                <w:iCs/>
                <w:color w:val="FF0000"/>
                <w:spacing w:val="8"/>
                <w:kern w:val="0"/>
                <w:sz w:val="24"/>
                <w:szCs w:val="24"/>
                <w:u w:val="single"/>
              </w:rPr>
              <w:t>相应支出可以追补至该支出发生年度税前扣除，但追补年限不得超过五年。</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1、在企业的实际经营中由于各种原因如购销合同、工程项目纠纷等，企业的支出在规定的期限未能取得合规发票、合规其他外部凭证，企业也没有进行税前扣除。针对此类情况，该条规定：待以后取得符合规定的发票、其他外部凭证或收集好相关资料证实支出真实性后，</w:t>
            </w:r>
            <w:r w:rsidRPr="003F342A">
              <w:rPr>
                <w:rFonts w:ascii="仿宋" w:eastAsia="仿宋" w:hAnsi="仿宋" w:cs="宋体" w:hint="eastAsia"/>
                <w:b/>
                <w:bCs/>
                <w:i/>
                <w:iCs/>
                <w:color w:val="FF0000"/>
                <w:spacing w:val="8"/>
                <w:kern w:val="0"/>
                <w:sz w:val="24"/>
                <w:szCs w:val="24"/>
                <w:u w:val="single"/>
              </w:rPr>
              <w:t>相应支出可以追补至该支出发生年度扣除，但追补年限不得超过五年。支出追补扣除应满足二个条件：一是</w:t>
            </w:r>
            <w:r w:rsidRPr="003F342A">
              <w:rPr>
                <w:rFonts w:ascii="仿宋" w:eastAsia="仿宋" w:hAnsi="仿宋" w:cs="宋体" w:hint="eastAsia"/>
                <w:color w:val="333333"/>
                <w:spacing w:val="8"/>
                <w:kern w:val="0"/>
                <w:sz w:val="24"/>
                <w:szCs w:val="24"/>
              </w:rPr>
              <w:t>以前年度应当取得而未取得发票、其他外部凭证或者取得不合规发票、不合规其他外部凭证，企业在支出发生年度</w:t>
            </w:r>
            <w:r w:rsidRPr="003F342A">
              <w:rPr>
                <w:rFonts w:ascii="仿宋" w:eastAsia="仿宋" w:hAnsi="仿宋" w:cs="宋体" w:hint="eastAsia"/>
                <w:b/>
                <w:bCs/>
                <w:i/>
                <w:iCs/>
                <w:color w:val="FF0000"/>
                <w:spacing w:val="8"/>
                <w:kern w:val="0"/>
                <w:sz w:val="24"/>
                <w:szCs w:val="24"/>
                <w:u w:val="single"/>
              </w:rPr>
              <w:t>主动</w:t>
            </w:r>
            <w:r w:rsidRPr="003F342A">
              <w:rPr>
                <w:rFonts w:ascii="仿宋" w:eastAsia="仿宋" w:hAnsi="仿宋" w:cs="宋体" w:hint="eastAsia"/>
                <w:color w:val="333333"/>
                <w:spacing w:val="8"/>
                <w:kern w:val="0"/>
                <w:sz w:val="24"/>
                <w:szCs w:val="24"/>
              </w:rPr>
              <w:t>没有进行税前扣除；</w:t>
            </w:r>
            <w:r w:rsidRPr="003F342A">
              <w:rPr>
                <w:rFonts w:ascii="仿宋" w:eastAsia="仿宋" w:hAnsi="仿宋" w:cs="宋体" w:hint="eastAsia"/>
                <w:b/>
                <w:bCs/>
                <w:i/>
                <w:iCs/>
                <w:color w:val="FF0000"/>
                <w:spacing w:val="8"/>
                <w:kern w:val="0"/>
                <w:sz w:val="24"/>
                <w:szCs w:val="24"/>
                <w:u w:val="single"/>
              </w:rPr>
              <w:t>二是</w:t>
            </w:r>
            <w:r w:rsidRPr="003F342A">
              <w:rPr>
                <w:rFonts w:ascii="仿宋" w:eastAsia="仿宋" w:hAnsi="仿宋" w:cs="宋体" w:hint="eastAsia"/>
                <w:color w:val="333333"/>
                <w:spacing w:val="8"/>
                <w:kern w:val="0"/>
                <w:sz w:val="24"/>
                <w:szCs w:val="24"/>
              </w:rPr>
              <w:t>在以后年度取得的发票、其他外部凭证应是合规的发票、其他外部凭证，</w:t>
            </w:r>
            <w:r w:rsidRPr="003F342A">
              <w:rPr>
                <w:rFonts w:ascii="仿宋" w:eastAsia="仿宋" w:hAnsi="仿宋" w:cs="宋体" w:hint="eastAsia"/>
                <w:b/>
                <w:bCs/>
                <w:i/>
                <w:iCs/>
                <w:color w:val="FF0000"/>
                <w:spacing w:val="8"/>
                <w:kern w:val="0"/>
                <w:sz w:val="24"/>
                <w:szCs w:val="24"/>
                <w:u w:val="single"/>
              </w:rPr>
              <w:t>或者因对方注销、撤销、依法被吊销营业执照、被税务机关认定为非正常户等特殊原因无法补开、换开发</w:t>
            </w:r>
            <w:r w:rsidRPr="003F342A">
              <w:rPr>
                <w:rFonts w:ascii="仿宋" w:eastAsia="仿宋" w:hAnsi="仿宋" w:cs="宋体" w:hint="eastAsia"/>
                <w:b/>
                <w:bCs/>
                <w:i/>
                <w:iCs/>
                <w:color w:val="FF0000"/>
                <w:spacing w:val="8"/>
                <w:kern w:val="0"/>
                <w:sz w:val="24"/>
                <w:szCs w:val="24"/>
                <w:u w:val="single"/>
              </w:rPr>
              <w:lastRenderedPageBreak/>
              <w:t>票、其他外部凭证的，按第十四条规定提供证实支出真实性的相关资料。</w:t>
            </w:r>
          </w:p>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2、特别关注：该条是否不适用以下情形：即企业支出没有取得合法扣除凭证或者取得不合规发票、不合规其他外部凭证但相应支出已在该年度已经扣除的情形。</w:t>
            </w:r>
          </w:p>
        </w:tc>
      </w:tr>
      <w:tr w:rsidR="003F342A" w:rsidRPr="003F342A" w:rsidTr="003F342A">
        <w:tc>
          <w:tcPr>
            <w:tcW w:w="595" w:type="pct"/>
            <w:vMerge/>
            <w:tcBorders>
              <w:top w:val="nil"/>
              <w:left w:val="single" w:sz="8" w:space="0" w:color="000000"/>
              <w:bottom w:val="single" w:sz="8" w:space="0" w:color="000000"/>
              <w:right w:val="single" w:sz="8" w:space="0" w:color="000000"/>
            </w:tcBorders>
            <w:shd w:val="clear" w:color="auto" w:fill="FFFFFF"/>
            <w:vAlign w:val="center"/>
            <w:hideMark/>
          </w:tcPr>
          <w:p w:rsidR="003F342A" w:rsidRPr="003F342A" w:rsidRDefault="003F342A" w:rsidP="003F342A">
            <w:pPr>
              <w:widowControl/>
              <w:spacing w:line="408" w:lineRule="atLeast"/>
              <w:rPr>
                <w:rFonts w:ascii="仿宋" w:eastAsia="仿宋" w:hAnsi="仿宋" w:cs="宋体"/>
                <w:color w:val="333333"/>
                <w:spacing w:val="8"/>
                <w:kern w:val="0"/>
                <w:sz w:val="24"/>
                <w:szCs w:val="24"/>
              </w:rPr>
            </w:pPr>
          </w:p>
        </w:tc>
        <w:tc>
          <w:tcPr>
            <w:tcW w:w="595"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共同接受应税劳务的处理</w:t>
            </w: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第十八条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 xml:space="preserve"> 企业与其他企业（包括关联企业）、个人在境内共同接受应纳增值税劳务(以下简称“应税劳务”)，</w:t>
            </w:r>
            <w:r w:rsidRPr="003F342A">
              <w:rPr>
                <w:rFonts w:ascii="仿宋" w:eastAsia="仿宋" w:hAnsi="仿宋" w:cs="宋体" w:hint="eastAsia"/>
                <w:b/>
                <w:bCs/>
                <w:i/>
                <w:iCs/>
                <w:color w:val="FF0000"/>
                <w:spacing w:val="8"/>
                <w:kern w:val="0"/>
                <w:sz w:val="24"/>
                <w:szCs w:val="24"/>
                <w:u w:val="single"/>
              </w:rPr>
              <w:t>采取分摊方式的，应当按照独立交易原则进行分摊，企业以发票和分割单作为税前扣除凭证</w:t>
            </w:r>
            <w:r w:rsidRPr="003F342A">
              <w:rPr>
                <w:rFonts w:ascii="仿宋" w:eastAsia="仿宋" w:hAnsi="仿宋" w:cs="宋体" w:hint="eastAsia"/>
                <w:color w:val="333333"/>
                <w:spacing w:val="8"/>
                <w:kern w:val="0"/>
                <w:sz w:val="24"/>
                <w:szCs w:val="24"/>
              </w:rPr>
              <w:t>，共同接受应税劳务的其他</w:t>
            </w:r>
            <w:r w:rsidRPr="003F342A">
              <w:rPr>
                <w:rFonts w:ascii="仿宋" w:eastAsia="仿宋" w:hAnsi="仿宋" w:cs="宋体" w:hint="eastAsia"/>
                <w:b/>
                <w:bCs/>
                <w:i/>
                <w:iCs/>
                <w:color w:val="FF0000"/>
                <w:spacing w:val="8"/>
                <w:kern w:val="0"/>
                <w:sz w:val="24"/>
                <w:szCs w:val="24"/>
                <w:u w:val="single"/>
              </w:rPr>
              <w:t>企业</w:t>
            </w:r>
            <w:r w:rsidRPr="003F342A">
              <w:rPr>
                <w:rFonts w:ascii="仿宋" w:eastAsia="仿宋" w:hAnsi="仿宋" w:cs="宋体" w:hint="eastAsia"/>
                <w:color w:val="333333"/>
                <w:spacing w:val="8"/>
                <w:kern w:val="0"/>
                <w:sz w:val="24"/>
                <w:szCs w:val="24"/>
              </w:rPr>
              <w:t>以企业</w:t>
            </w:r>
            <w:r w:rsidRPr="003F342A">
              <w:rPr>
                <w:rFonts w:ascii="仿宋" w:eastAsia="仿宋" w:hAnsi="仿宋" w:cs="宋体" w:hint="eastAsia"/>
                <w:b/>
                <w:bCs/>
                <w:i/>
                <w:iCs/>
                <w:color w:val="FF0000"/>
                <w:spacing w:val="8"/>
                <w:kern w:val="0"/>
                <w:sz w:val="24"/>
                <w:szCs w:val="24"/>
                <w:u w:val="single"/>
              </w:rPr>
              <w:t>开具的分割单</w:t>
            </w:r>
            <w:r w:rsidRPr="003F342A">
              <w:rPr>
                <w:rFonts w:ascii="仿宋" w:eastAsia="仿宋" w:hAnsi="仿宋" w:cs="宋体" w:hint="eastAsia"/>
                <w:color w:val="333333"/>
                <w:spacing w:val="8"/>
                <w:kern w:val="0"/>
                <w:sz w:val="24"/>
                <w:szCs w:val="24"/>
              </w:rPr>
              <w:t>作为税前扣除凭证。</w:t>
            </w:r>
          </w:p>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企业与其他企业、个人在境内共同接受</w:t>
            </w:r>
            <w:r w:rsidRPr="003F342A">
              <w:rPr>
                <w:rFonts w:ascii="仿宋" w:eastAsia="仿宋" w:hAnsi="仿宋" w:cs="宋体" w:hint="eastAsia"/>
                <w:i/>
                <w:iCs/>
                <w:color w:val="FF0000"/>
                <w:spacing w:val="8"/>
                <w:kern w:val="0"/>
                <w:sz w:val="24"/>
                <w:szCs w:val="24"/>
                <w:u w:val="single"/>
              </w:rPr>
              <w:t>非应税劳务发生的支</w:t>
            </w:r>
            <w:r w:rsidRPr="003F342A">
              <w:rPr>
                <w:rFonts w:ascii="仿宋" w:eastAsia="仿宋" w:hAnsi="仿宋" w:cs="宋体" w:hint="eastAsia"/>
                <w:color w:val="333333"/>
                <w:spacing w:val="8"/>
                <w:kern w:val="0"/>
                <w:sz w:val="24"/>
                <w:szCs w:val="24"/>
              </w:rPr>
              <w:t>出，企业以</w:t>
            </w:r>
            <w:r w:rsidRPr="003F342A">
              <w:rPr>
                <w:rFonts w:ascii="仿宋" w:eastAsia="仿宋" w:hAnsi="仿宋" w:cs="宋体" w:hint="eastAsia"/>
                <w:i/>
                <w:iCs/>
                <w:color w:val="FF0000"/>
                <w:spacing w:val="8"/>
                <w:kern w:val="0"/>
                <w:sz w:val="24"/>
                <w:szCs w:val="24"/>
                <w:u w:val="single"/>
              </w:rPr>
              <w:t>发票外的其他外部凭证和分割单作为税前扣除凭证，共同接受非应税劳务的其他企业以企业开具的分割单作为税前扣除凭证。</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1、理解只有关联企业之间的交易才需要按照独立交易原则进行分摊，但是如何证明其分摊是否符合独立交易原则是问题。而解决这一问题是要按转让定价问题进行分析评估才行。</w:t>
            </w:r>
            <w:r w:rsidRPr="003F342A">
              <w:rPr>
                <w:rFonts w:ascii="仿宋" w:eastAsia="仿宋" w:hAnsi="仿宋" w:cs="宋体" w:hint="eastAsia"/>
                <w:b/>
                <w:bCs/>
                <w:i/>
                <w:iCs/>
                <w:color w:val="00B0F0"/>
                <w:spacing w:val="8"/>
                <w:kern w:val="0"/>
                <w:sz w:val="24"/>
                <w:szCs w:val="24"/>
                <w:u w:val="single"/>
              </w:rPr>
              <w:t>（TPSZSMART是国内专门从事转让定价服务的专业机构，亲们可以各种方式给咱们沟通）</w:t>
            </w:r>
          </w:p>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2、本条规定关联企业之间共同接受应税劳务才OK，而非应税劳务不OK。这样财税[2017]41号下关联企业签署广告费和业务宣传费的分摊发票如何处理？国税发（2008）86号文下母子公司服务费用发票如何处理？</w:t>
            </w:r>
          </w:p>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3、本条是针对境内劳务。那签署成本分摊协议的境外服务等如何处理？此外，针对企业境外承包工程税收抵免凭证亲们可以关注下国家税务总局公告2</w:t>
            </w:r>
            <w:r w:rsidRPr="003F342A">
              <w:rPr>
                <w:rFonts w:ascii="仿宋" w:eastAsia="仿宋" w:hAnsi="仿宋" w:cs="宋体" w:hint="eastAsia"/>
                <w:color w:val="333333"/>
                <w:spacing w:val="8"/>
                <w:kern w:val="0"/>
                <w:sz w:val="24"/>
                <w:szCs w:val="24"/>
              </w:rPr>
              <w:lastRenderedPageBreak/>
              <w:t>017年第41号的《分割单》的相关规定。</w:t>
            </w:r>
          </w:p>
        </w:tc>
      </w:tr>
      <w:tr w:rsidR="003F342A" w:rsidRPr="003F342A" w:rsidTr="003F342A">
        <w:tc>
          <w:tcPr>
            <w:tcW w:w="595" w:type="pct"/>
            <w:vMerge/>
            <w:tcBorders>
              <w:top w:val="nil"/>
              <w:left w:val="single" w:sz="8" w:space="0" w:color="000000"/>
              <w:bottom w:val="single" w:sz="8" w:space="0" w:color="000000"/>
              <w:right w:val="single" w:sz="8" w:space="0" w:color="000000"/>
            </w:tcBorders>
            <w:shd w:val="clear" w:color="auto" w:fill="FFFFFF"/>
            <w:vAlign w:val="center"/>
            <w:hideMark/>
          </w:tcPr>
          <w:p w:rsidR="003F342A" w:rsidRPr="003F342A" w:rsidRDefault="003F342A" w:rsidP="003F342A">
            <w:pPr>
              <w:widowControl/>
              <w:spacing w:line="408" w:lineRule="atLeast"/>
              <w:rPr>
                <w:rFonts w:ascii="仿宋" w:eastAsia="仿宋" w:hAnsi="仿宋" w:cs="宋体"/>
                <w:color w:val="333333"/>
                <w:spacing w:val="8"/>
                <w:kern w:val="0"/>
                <w:sz w:val="24"/>
                <w:szCs w:val="24"/>
              </w:rPr>
            </w:pPr>
          </w:p>
        </w:tc>
        <w:tc>
          <w:tcPr>
            <w:tcW w:w="595"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408" w:lineRule="atLeast"/>
              <w:rPr>
                <w:rFonts w:ascii="仿宋" w:eastAsia="仿宋" w:hAnsi="仿宋" w:cs="宋体" w:hint="eastAsia"/>
                <w:color w:val="333333"/>
                <w:spacing w:val="8"/>
                <w:kern w:val="0"/>
                <w:sz w:val="24"/>
                <w:szCs w:val="24"/>
              </w:rPr>
            </w:pP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第十九条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 xml:space="preserve"> </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企业租用办公、生产用房等资产发生的水、电、燃气、冷气、暖气、通讯线路、有线电视、网络等费用，出租方作为应税项目开具发票的，企业以发票作为税前扣除凭证；</w:t>
            </w:r>
            <w:r w:rsidRPr="003F342A">
              <w:rPr>
                <w:rFonts w:ascii="仿宋" w:eastAsia="仿宋" w:hAnsi="仿宋" w:cs="宋体" w:hint="eastAsia"/>
                <w:b/>
                <w:bCs/>
                <w:i/>
                <w:iCs/>
                <w:color w:val="FF0000"/>
                <w:spacing w:val="8"/>
                <w:kern w:val="0"/>
                <w:sz w:val="24"/>
                <w:szCs w:val="24"/>
                <w:u w:val="single"/>
              </w:rPr>
              <w:t>出租方采取分摊方式的（包括企业作为单一承租方的情况），企业以出租方开具的其他外部凭证作为税前扣除凭证。</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1、根据第八条规定：外部凭证包括</w:t>
            </w:r>
            <w:r w:rsidRPr="003F342A">
              <w:rPr>
                <w:rFonts w:ascii="仿宋" w:eastAsia="仿宋" w:hAnsi="仿宋" w:cs="宋体" w:hint="eastAsia"/>
                <w:b/>
                <w:bCs/>
                <w:i/>
                <w:iCs/>
                <w:color w:val="FF0000"/>
                <w:spacing w:val="8"/>
                <w:kern w:val="0"/>
                <w:sz w:val="24"/>
                <w:szCs w:val="24"/>
                <w:u w:val="single"/>
              </w:rPr>
              <w:t>但不限于</w:t>
            </w:r>
            <w:r w:rsidRPr="003F342A">
              <w:rPr>
                <w:rFonts w:ascii="仿宋" w:eastAsia="仿宋" w:hAnsi="仿宋" w:cs="宋体" w:hint="eastAsia"/>
                <w:color w:val="333333"/>
                <w:spacing w:val="8"/>
                <w:kern w:val="0"/>
                <w:sz w:val="24"/>
                <w:szCs w:val="24"/>
              </w:rPr>
              <w:t>发票（包括纸质发票和电子发票）、财政票据、完税凭证、</w:t>
            </w:r>
            <w:r w:rsidRPr="003F342A">
              <w:rPr>
                <w:rFonts w:ascii="仿宋" w:eastAsia="仿宋" w:hAnsi="仿宋" w:cs="宋体" w:hint="eastAsia"/>
                <w:b/>
                <w:bCs/>
                <w:i/>
                <w:iCs/>
                <w:color w:val="FF0000"/>
                <w:spacing w:val="8"/>
                <w:kern w:val="0"/>
                <w:sz w:val="24"/>
                <w:szCs w:val="24"/>
                <w:u w:val="single"/>
              </w:rPr>
              <w:t>收款凭证、分割单等</w:t>
            </w:r>
            <w:r w:rsidRPr="003F342A">
              <w:rPr>
                <w:rFonts w:ascii="仿宋" w:eastAsia="仿宋" w:hAnsi="仿宋" w:cs="宋体" w:hint="eastAsia"/>
                <w:color w:val="333333"/>
                <w:spacing w:val="8"/>
                <w:kern w:val="0"/>
                <w:sz w:val="24"/>
                <w:szCs w:val="24"/>
              </w:rPr>
              <w:t>。那本条中所说的“其他外部凭证”到底是指什么凭证？分割单OR其他凭证？</w:t>
            </w:r>
          </w:p>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2、本条明确了可以使用“分割单”等其他外部凭证可以税前扣除，但是注意前提千万别滥用分割单之类的，否则也属于不合规的其他外部凭证的。</w:t>
            </w:r>
          </w:p>
        </w:tc>
      </w:tr>
      <w:tr w:rsidR="003F342A" w:rsidRPr="003F342A" w:rsidTr="003F342A">
        <w:tc>
          <w:tcPr>
            <w:tcW w:w="1190" w:type="pct"/>
            <w:gridSpan w:val="2"/>
            <w:tcBorders>
              <w:top w:val="nil"/>
              <w:left w:val="single" w:sz="8" w:space="0" w:color="000000"/>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jc w:val="center"/>
              <w:rPr>
                <w:rFonts w:ascii="仿宋" w:eastAsia="仿宋" w:hAnsi="仿宋" w:cs="宋体" w:hint="eastAsia"/>
                <w:color w:val="333333"/>
                <w:spacing w:val="8"/>
                <w:kern w:val="0"/>
                <w:sz w:val="24"/>
                <w:szCs w:val="24"/>
              </w:rPr>
            </w:pPr>
            <w:r w:rsidRPr="003F342A">
              <w:rPr>
                <w:rFonts w:ascii="仿宋" w:eastAsia="仿宋" w:hAnsi="仿宋" w:cs="宋体" w:hint="eastAsia"/>
                <w:b/>
                <w:bCs/>
                <w:color w:val="FF0000"/>
                <w:spacing w:val="8"/>
                <w:kern w:val="0"/>
                <w:sz w:val="24"/>
                <w:szCs w:val="24"/>
              </w:rPr>
              <w:t>施行日期</w:t>
            </w:r>
          </w:p>
        </w:tc>
        <w:tc>
          <w:tcPr>
            <w:tcW w:w="1852"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rsidR="003F342A" w:rsidRPr="003F342A" w:rsidRDefault="003F342A" w:rsidP="003F342A">
            <w:pPr>
              <w:widowControl/>
              <w:wordWrap w:val="0"/>
              <w:spacing w:line="383" w:lineRule="atLeas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第二十条</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 xml:space="preserve"> 本办法自2018年7月1日起施行。</w:t>
            </w:r>
          </w:p>
        </w:tc>
        <w:tc>
          <w:tcPr>
            <w:tcW w:w="195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 xml:space="preserve">1、《国家税务总局税收规范性文件制定管理办法》（国家税务总局令第41号）第十四条 </w:t>
            </w:r>
            <w:r w:rsidRPr="003F342A">
              <w:rPr>
                <w:rFonts w:ascii="Calibri" w:eastAsia="仿宋" w:hAnsi="Calibri" w:cs="Calibri"/>
                <w:color w:val="333333"/>
                <w:spacing w:val="8"/>
                <w:kern w:val="0"/>
                <w:sz w:val="24"/>
                <w:szCs w:val="24"/>
              </w:rPr>
              <w:t> </w:t>
            </w:r>
            <w:r w:rsidRPr="003F342A">
              <w:rPr>
                <w:rFonts w:ascii="仿宋" w:eastAsia="仿宋" w:hAnsi="仿宋" w:cs="宋体" w:hint="eastAsia"/>
                <w:color w:val="333333"/>
                <w:spacing w:val="8"/>
                <w:kern w:val="0"/>
                <w:sz w:val="24"/>
                <w:szCs w:val="24"/>
              </w:rPr>
              <w:t>第一款规定：</w:t>
            </w:r>
            <w:r w:rsidRPr="003F342A">
              <w:rPr>
                <w:rFonts w:ascii="仿宋" w:eastAsia="仿宋" w:hAnsi="仿宋" w:cs="宋体" w:hint="eastAsia"/>
                <w:b/>
                <w:bCs/>
                <w:color w:val="FF0000"/>
                <w:spacing w:val="8"/>
                <w:kern w:val="0"/>
                <w:sz w:val="24"/>
                <w:szCs w:val="24"/>
                <w:u w:val="single"/>
              </w:rPr>
              <w:t>税收规范性文件应当自发布之日起30日后施行。</w:t>
            </w:r>
          </w:p>
          <w:p w:rsidR="003F342A" w:rsidRPr="003F342A" w:rsidRDefault="003F342A" w:rsidP="003F342A">
            <w:pPr>
              <w:widowControl/>
              <w:wordWrap w:val="0"/>
              <w:spacing w:line="383" w:lineRule="atLeast"/>
              <w:jc w:val="left"/>
              <w:rPr>
                <w:rFonts w:ascii="仿宋" w:eastAsia="仿宋" w:hAnsi="仿宋" w:cs="宋体" w:hint="eastAsia"/>
                <w:color w:val="333333"/>
                <w:spacing w:val="8"/>
                <w:kern w:val="0"/>
                <w:sz w:val="24"/>
                <w:szCs w:val="24"/>
              </w:rPr>
            </w:pPr>
            <w:r w:rsidRPr="003F342A">
              <w:rPr>
                <w:rFonts w:ascii="仿宋" w:eastAsia="仿宋" w:hAnsi="仿宋" w:cs="宋体" w:hint="eastAsia"/>
                <w:color w:val="333333"/>
                <w:spacing w:val="8"/>
                <w:kern w:val="0"/>
                <w:sz w:val="24"/>
                <w:szCs w:val="24"/>
              </w:rPr>
              <w:t>2、如何衔接本条没有作出任何规定，理解过往发票处理该可以按新规进行吧，这个你懂的。</w:t>
            </w:r>
          </w:p>
        </w:tc>
      </w:tr>
    </w:tbl>
    <w:p w:rsidR="003F342A" w:rsidRPr="003F342A" w:rsidRDefault="003F342A" w:rsidP="00062F1C"/>
    <w:sectPr w:rsidR="003F342A" w:rsidRPr="003F342A" w:rsidSect="00587E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15" w:rsidRDefault="00577215" w:rsidP="00B4321D">
      <w:r>
        <w:separator/>
      </w:r>
    </w:p>
  </w:endnote>
  <w:endnote w:type="continuationSeparator" w:id="0">
    <w:p w:rsidR="00577215" w:rsidRDefault="00577215" w:rsidP="00B4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15" w:rsidRDefault="00577215" w:rsidP="00B4321D">
      <w:r>
        <w:separator/>
      </w:r>
    </w:p>
  </w:footnote>
  <w:footnote w:type="continuationSeparator" w:id="0">
    <w:p w:rsidR="00577215" w:rsidRDefault="00577215" w:rsidP="00B43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FD"/>
    <w:rsid w:val="00062F1C"/>
    <w:rsid w:val="000B21D6"/>
    <w:rsid w:val="000B24BF"/>
    <w:rsid w:val="00145C9D"/>
    <w:rsid w:val="00181F02"/>
    <w:rsid w:val="001F1771"/>
    <w:rsid w:val="00285DF6"/>
    <w:rsid w:val="00353743"/>
    <w:rsid w:val="003F342A"/>
    <w:rsid w:val="004B323B"/>
    <w:rsid w:val="004B3EB8"/>
    <w:rsid w:val="004C6D86"/>
    <w:rsid w:val="004D74F1"/>
    <w:rsid w:val="00577215"/>
    <w:rsid w:val="00587EA2"/>
    <w:rsid w:val="00593907"/>
    <w:rsid w:val="005B5DEB"/>
    <w:rsid w:val="006B64EE"/>
    <w:rsid w:val="00876AF4"/>
    <w:rsid w:val="0090265A"/>
    <w:rsid w:val="00A43F8E"/>
    <w:rsid w:val="00AE44F1"/>
    <w:rsid w:val="00AE51BC"/>
    <w:rsid w:val="00B4321D"/>
    <w:rsid w:val="00B617BF"/>
    <w:rsid w:val="00B65C48"/>
    <w:rsid w:val="00B66D13"/>
    <w:rsid w:val="00BC31DF"/>
    <w:rsid w:val="00BC7CFD"/>
    <w:rsid w:val="00EE6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65761"/>
  <w15:chartTrackingRefBased/>
  <w15:docId w15:val="{BFF8FB00-C17E-4127-A4E8-6470F26C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4321D"/>
    <w:pPr>
      <w:widowControl/>
      <w:jc w:val="left"/>
      <w:outlineLvl w:val="0"/>
    </w:pPr>
    <w:rPr>
      <w:rFonts w:ascii="宋体" w:eastAsia="宋体" w:hAnsi="宋体" w:cs="宋体"/>
      <w:b/>
      <w:bCs/>
      <w:kern w:val="36"/>
      <w:sz w:val="48"/>
      <w:szCs w:val="48"/>
    </w:rPr>
  </w:style>
  <w:style w:type="paragraph" w:styleId="2">
    <w:name w:val="heading 2"/>
    <w:basedOn w:val="a"/>
    <w:link w:val="20"/>
    <w:uiPriority w:val="9"/>
    <w:qFormat/>
    <w:rsid w:val="00B4321D"/>
    <w:pPr>
      <w:widowControl/>
      <w:jc w:val="left"/>
      <w:outlineLvl w:val="1"/>
    </w:pPr>
    <w:rPr>
      <w:rFonts w:ascii="宋体" w:eastAsia="宋体" w:hAnsi="宋体" w:cs="宋体"/>
      <w:b/>
      <w:bCs/>
      <w:kern w:val="0"/>
      <w:sz w:val="36"/>
      <w:szCs w:val="36"/>
    </w:rPr>
  </w:style>
  <w:style w:type="paragraph" w:styleId="3">
    <w:name w:val="heading 3"/>
    <w:basedOn w:val="a"/>
    <w:link w:val="30"/>
    <w:uiPriority w:val="9"/>
    <w:qFormat/>
    <w:rsid w:val="00B4321D"/>
    <w:pPr>
      <w:widowControl/>
      <w:jc w:val="left"/>
      <w:outlineLvl w:val="2"/>
    </w:pPr>
    <w:rPr>
      <w:rFonts w:ascii="宋体" w:eastAsia="宋体" w:hAnsi="宋体" w:cs="宋体"/>
      <w:b/>
      <w:bCs/>
      <w:kern w:val="0"/>
      <w:sz w:val="27"/>
      <w:szCs w:val="27"/>
    </w:rPr>
  </w:style>
  <w:style w:type="paragraph" w:styleId="4">
    <w:name w:val="heading 4"/>
    <w:basedOn w:val="a"/>
    <w:link w:val="40"/>
    <w:uiPriority w:val="9"/>
    <w:qFormat/>
    <w:rsid w:val="00B4321D"/>
    <w:pPr>
      <w:widowControl/>
      <w:jc w:val="left"/>
      <w:outlineLvl w:val="3"/>
    </w:pPr>
    <w:rPr>
      <w:rFonts w:ascii="宋体" w:eastAsia="宋体" w:hAnsi="宋体" w:cs="宋体"/>
      <w:b/>
      <w:bCs/>
      <w:kern w:val="0"/>
      <w:sz w:val="24"/>
      <w:szCs w:val="24"/>
    </w:rPr>
  </w:style>
  <w:style w:type="paragraph" w:styleId="5">
    <w:name w:val="heading 5"/>
    <w:basedOn w:val="a"/>
    <w:link w:val="50"/>
    <w:uiPriority w:val="9"/>
    <w:qFormat/>
    <w:rsid w:val="00B4321D"/>
    <w:pPr>
      <w:widowControl/>
      <w:jc w:val="left"/>
      <w:outlineLvl w:val="4"/>
    </w:pPr>
    <w:rPr>
      <w:rFonts w:ascii="宋体" w:eastAsia="宋体" w:hAnsi="宋体" w:cs="宋体"/>
      <w:b/>
      <w:bCs/>
      <w:kern w:val="0"/>
      <w:sz w:val="20"/>
      <w:szCs w:val="20"/>
    </w:rPr>
  </w:style>
  <w:style w:type="paragraph" w:styleId="6">
    <w:name w:val="heading 6"/>
    <w:basedOn w:val="a"/>
    <w:link w:val="60"/>
    <w:uiPriority w:val="9"/>
    <w:qFormat/>
    <w:rsid w:val="00B4321D"/>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2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321D"/>
    <w:rPr>
      <w:sz w:val="18"/>
      <w:szCs w:val="18"/>
    </w:rPr>
  </w:style>
  <w:style w:type="paragraph" w:styleId="a5">
    <w:name w:val="footer"/>
    <w:basedOn w:val="a"/>
    <w:link w:val="a6"/>
    <w:uiPriority w:val="99"/>
    <w:unhideWhenUsed/>
    <w:rsid w:val="00B4321D"/>
    <w:pPr>
      <w:tabs>
        <w:tab w:val="center" w:pos="4153"/>
        <w:tab w:val="right" w:pos="8306"/>
      </w:tabs>
      <w:snapToGrid w:val="0"/>
      <w:jc w:val="left"/>
    </w:pPr>
    <w:rPr>
      <w:sz w:val="18"/>
      <w:szCs w:val="18"/>
    </w:rPr>
  </w:style>
  <w:style w:type="character" w:customStyle="1" w:styleId="a6">
    <w:name w:val="页脚 字符"/>
    <w:basedOn w:val="a0"/>
    <w:link w:val="a5"/>
    <w:uiPriority w:val="99"/>
    <w:rsid w:val="00B4321D"/>
    <w:rPr>
      <w:sz w:val="18"/>
      <w:szCs w:val="18"/>
    </w:rPr>
  </w:style>
  <w:style w:type="character" w:customStyle="1" w:styleId="10">
    <w:name w:val="标题 1 字符"/>
    <w:basedOn w:val="a0"/>
    <w:link w:val="1"/>
    <w:uiPriority w:val="9"/>
    <w:rsid w:val="00B4321D"/>
    <w:rPr>
      <w:rFonts w:ascii="宋体" w:eastAsia="宋体" w:hAnsi="宋体" w:cs="宋体"/>
      <w:b/>
      <w:bCs/>
      <w:kern w:val="36"/>
      <w:sz w:val="48"/>
      <w:szCs w:val="48"/>
    </w:rPr>
  </w:style>
  <w:style w:type="character" w:customStyle="1" w:styleId="20">
    <w:name w:val="标题 2 字符"/>
    <w:basedOn w:val="a0"/>
    <w:link w:val="2"/>
    <w:uiPriority w:val="9"/>
    <w:rsid w:val="00B4321D"/>
    <w:rPr>
      <w:rFonts w:ascii="宋体" w:eastAsia="宋体" w:hAnsi="宋体" w:cs="宋体"/>
      <w:b/>
      <w:bCs/>
      <w:kern w:val="0"/>
      <w:sz w:val="36"/>
      <w:szCs w:val="36"/>
    </w:rPr>
  </w:style>
  <w:style w:type="character" w:customStyle="1" w:styleId="30">
    <w:name w:val="标题 3 字符"/>
    <w:basedOn w:val="a0"/>
    <w:link w:val="3"/>
    <w:uiPriority w:val="9"/>
    <w:rsid w:val="00B4321D"/>
    <w:rPr>
      <w:rFonts w:ascii="宋体" w:eastAsia="宋体" w:hAnsi="宋体" w:cs="宋体"/>
      <w:b/>
      <w:bCs/>
      <w:kern w:val="0"/>
      <w:sz w:val="27"/>
      <w:szCs w:val="27"/>
    </w:rPr>
  </w:style>
  <w:style w:type="character" w:customStyle="1" w:styleId="40">
    <w:name w:val="标题 4 字符"/>
    <w:basedOn w:val="a0"/>
    <w:link w:val="4"/>
    <w:uiPriority w:val="9"/>
    <w:rsid w:val="00B4321D"/>
    <w:rPr>
      <w:rFonts w:ascii="宋体" w:eastAsia="宋体" w:hAnsi="宋体" w:cs="宋体"/>
      <w:b/>
      <w:bCs/>
      <w:kern w:val="0"/>
      <w:sz w:val="24"/>
      <w:szCs w:val="24"/>
    </w:rPr>
  </w:style>
  <w:style w:type="character" w:customStyle="1" w:styleId="50">
    <w:name w:val="标题 5 字符"/>
    <w:basedOn w:val="a0"/>
    <w:link w:val="5"/>
    <w:uiPriority w:val="9"/>
    <w:rsid w:val="00B4321D"/>
    <w:rPr>
      <w:rFonts w:ascii="宋体" w:eastAsia="宋体" w:hAnsi="宋体" w:cs="宋体"/>
      <w:b/>
      <w:bCs/>
      <w:kern w:val="0"/>
      <w:sz w:val="20"/>
      <w:szCs w:val="20"/>
    </w:rPr>
  </w:style>
  <w:style w:type="character" w:customStyle="1" w:styleId="60">
    <w:name w:val="标题 6 字符"/>
    <w:basedOn w:val="a0"/>
    <w:link w:val="6"/>
    <w:uiPriority w:val="9"/>
    <w:rsid w:val="00B4321D"/>
    <w:rPr>
      <w:rFonts w:ascii="宋体" w:eastAsia="宋体" w:hAnsi="宋体" w:cs="宋体"/>
      <w:b/>
      <w:bCs/>
      <w:kern w:val="0"/>
      <w:sz w:val="15"/>
      <w:szCs w:val="15"/>
    </w:rPr>
  </w:style>
  <w:style w:type="paragraph" w:styleId="a7">
    <w:name w:val="Normal (Web)"/>
    <w:basedOn w:val="a"/>
    <w:uiPriority w:val="99"/>
    <w:semiHidden/>
    <w:unhideWhenUsed/>
    <w:rsid w:val="00353743"/>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0B24BF"/>
    <w:rPr>
      <w:color w:val="0000FF"/>
      <w:u w:val="single"/>
    </w:rPr>
  </w:style>
  <w:style w:type="character" w:styleId="a9">
    <w:name w:val="Strong"/>
    <w:basedOn w:val="a0"/>
    <w:uiPriority w:val="22"/>
    <w:qFormat/>
    <w:rsid w:val="000B24BF"/>
    <w:rPr>
      <w:b/>
      <w:bCs/>
    </w:rPr>
  </w:style>
  <w:style w:type="character" w:customStyle="1" w:styleId="apple-converted-space">
    <w:name w:val="apple-converted-space"/>
    <w:basedOn w:val="a0"/>
    <w:rsid w:val="000B24BF"/>
  </w:style>
  <w:style w:type="paragraph" w:styleId="aa">
    <w:name w:val="Balloon Text"/>
    <w:basedOn w:val="a"/>
    <w:link w:val="ab"/>
    <w:uiPriority w:val="99"/>
    <w:semiHidden/>
    <w:unhideWhenUsed/>
    <w:rsid w:val="004B323B"/>
    <w:rPr>
      <w:sz w:val="18"/>
      <w:szCs w:val="18"/>
    </w:rPr>
  </w:style>
  <w:style w:type="character" w:customStyle="1" w:styleId="ab">
    <w:name w:val="批注框文本 字符"/>
    <w:basedOn w:val="a0"/>
    <w:link w:val="aa"/>
    <w:uiPriority w:val="99"/>
    <w:semiHidden/>
    <w:rsid w:val="004B323B"/>
    <w:rPr>
      <w:sz w:val="18"/>
      <w:szCs w:val="18"/>
    </w:rPr>
  </w:style>
  <w:style w:type="character" w:styleId="ac">
    <w:name w:val="Emphasis"/>
    <w:basedOn w:val="a0"/>
    <w:uiPriority w:val="20"/>
    <w:qFormat/>
    <w:rsid w:val="003F34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157716">
      <w:bodyDiv w:val="1"/>
      <w:marLeft w:val="0"/>
      <w:marRight w:val="0"/>
      <w:marTop w:val="0"/>
      <w:marBottom w:val="0"/>
      <w:divBdr>
        <w:top w:val="none" w:sz="0" w:space="0" w:color="auto"/>
        <w:left w:val="none" w:sz="0" w:space="0" w:color="auto"/>
        <w:bottom w:val="none" w:sz="0" w:space="0" w:color="auto"/>
        <w:right w:val="none" w:sz="0" w:space="0" w:color="auto"/>
      </w:divBdr>
    </w:div>
    <w:div w:id="965623537">
      <w:bodyDiv w:val="1"/>
      <w:marLeft w:val="0"/>
      <w:marRight w:val="0"/>
      <w:marTop w:val="0"/>
      <w:marBottom w:val="0"/>
      <w:divBdr>
        <w:top w:val="none" w:sz="0" w:space="0" w:color="auto"/>
        <w:left w:val="none" w:sz="0" w:space="0" w:color="auto"/>
        <w:bottom w:val="none" w:sz="0" w:space="0" w:color="auto"/>
        <w:right w:val="none" w:sz="0" w:space="0" w:color="auto"/>
      </w:divBdr>
    </w:div>
    <w:div w:id="1346253262">
      <w:bodyDiv w:val="1"/>
      <w:marLeft w:val="0"/>
      <w:marRight w:val="0"/>
      <w:marTop w:val="0"/>
      <w:marBottom w:val="0"/>
      <w:divBdr>
        <w:top w:val="none" w:sz="0" w:space="0" w:color="auto"/>
        <w:left w:val="none" w:sz="0" w:space="0" w:color="auto"/>
        <w:bottom w:val="none" w:sz="0" w:space="0" w:color="auto"/>
        <w:right w:val="none" w:sz="0" w:space="0" w:color="auto"/>
      </w:divBdr>
    </w:div>
    <w:div w:id="1612129298">
      <w:bodyDiv w:val="1"/>
      <w:marLeft w:val="0"/>
      <w:marRight w:val="0"/>
      <w:marTop w:val="0"/>
      <w:marBottom w:val="0"/>
      <w:divBdr>
        <w:top w:val="none" w:sz="0" w:space="0" w:color="auto"/>
        <w:left w:val="none" w:sz="0" w:space="0" w:color="auto"/>
        <w:bottom w:val="none" w:sz="0" w:space="0" w:color="auto"/>
        <w:right w:val="none" w:sz="0" w:space="0" w:color="auto"/>
      </w:divBdr>
    </w:div>
    <w:div w:id="1646812808">
      <w:bodyDiv w:val="1"/>
      <w:marLeft w:val="0"/>
      <w:marRight w:val="0"/>
      <w:marTop w:val="0"/>
      <w:marBottom w:val="0"/>
      <w:divBdr>
        <w:top w:val="none" w:sz="0" w:space="0" w:color="auto"/>
        <w:left w:val="none" w:sz="0" w:space="0" w:color="auto"/>
        <w:bottom w:val="none" w:sz="0" w:space="0" w:color="auto"/>
        <w:right w:val="none" w:sz="0" w:space="0" w:color="auto"/>
      </w:divBdr>
      <w:divsChild>
        <w:div w:id="1766026033">
          <w:marLeft w:val="0"/>
          <w:marRight w:val="0"/>
          <w:marTop w:val="0"/>
          <w:marBottom w:val="0"/>
          <w:divBdr>
            <w:top w:val="none" w:sz="0" w:space="0" w:color="auto"/>
            <w:left w:val="none" w:sz="0" w:space="0" w:color="auto"/>
            <w:bottom w:val="none" w:sz="0" w:space="0" w:color="auto"/>
            <w:right w:val="none" w:sz="0" w:space="0" w:color="auto"/>
          </w:divBdr>
        </w:div>
        <w:div w:id="1762068124">
          <w:marLeft w:val="0"/>
          <w:marRight w:val="0"/>
          <w:marTop w:val="0"/>
          <w:marBottom w:val="0"/>
          <w:divBdr>
            <w:top w:val="none" w:sz="0" w:space="0" w:color="auto"/>
            <w:left w:val="none" w:sz="0" w:space="0" w:color="auto"/>
            <w:bottom w:val="none" w:sz="0" w:space="0" w:color="auto"/>
            <w:right w:val="none" w:sz="0" w:space="0" w:color="auto"/>
          </w:divBdr>
        </w:div>
        <w:div w:id="650257002">
          <w:marLeft w:val="0"/>
          <w:marRight w:val="0"/>
          <w:marTop w:val="0"/>
          <w:marBottom w:val="0"/>
          <w:divBdr>
            <w:top w:val="none" w:sz="0" w:space="0" w:color="auto"/>
            <w:left w:val="none" w:sz="0" w:space="0" w:color="auto"/>
            <w:bottom w:val="none" w:sz="0" w:space="0" w:color="auto"/>
            <w:right w:val="none" w:sz="0" w:space="0" w:color="auto"/>
          </w:divBdr>
        </w:div>
        <w:div w:id="1641884346">
          <w:marLeft w:val="0"/>
          <w:marRight w:val="0"/>
          <w:marTop w:val="0"/>
          <w:marBottom w:val="0"/>
          <w:divBdr>
            <w:top w:val="none" w:sz="0" w:space="0" w:color="auto"/>
            <w:left w:val="none" w:sz="0" w:space="0" w:color="auto"/>
            <w:bottom w:val="none" w:sz="0" w:space="0" w:color="auto"/>
            <w:right w:val="none" w:sz="0" w:space="0" w:color="auto"/>
          </w:divBdr>
        </w:div>
        <w:div w:id="1148984345">
          <w:marLeft w:val="0"/>
          <w:marRight w:val="0"/>
          <w:marTop w:val="0"/>
          <w:marBottom w:val="0"/>
          <w:divBdr>
            <w:top w:val="none" w:sz="0" w:space="0" w:color="auto"/>
            <w:left w:val="none" w:sz="0" w:space="0" w:color="auto"/>
            <w:bottom w:val="none" w:sz="0" w:space="0" w:color="auto"/>
            <w:right w:val="none" w:sz="0" w:space="0" w:color="auto"/>
          </w:divBdr>
        </w:div>
        <w:div w:id="1954169441">
          <w:marLeft w:val="0"/>
          <w:marRight w:val="0"/>
          <w:marTop w:val="0"/>
          <w:marBottom w:val="0"/>
          <w:divBdr>
            <w:top w:val="none" w:sz="0" w:space="0" w:color="auto"/>
            <w:left w:val="none" w:sz="0" w:space="0" w:color="auto"/>
            <w:bottom w:val="none" w:sz="0" w:space="0" w:color="auto"/>
            <w:right w:val="none" w:sz="0" w:space="0" w:color="auto"/>
          </w:divBdr>
        </w:div>
        <w:div w:id="560865517">
          <w:marLeft w:val="0"/>
          <w:marRight w:val="0"/>
          <w:marTop w:val="0"/>
          <w:marBottom w:val="0"/>
          <w:divBdr>
            <w:top w:val="none" w:sz="0" w:space="0" w:color="auto"/>
            <w:left w:val="none" w:sz="0" w:space="0" w:color="auto"/>
            <w:bottom w:val="none" w:sz="0" w:space="0" w:color="auto"/>
            <w:right w:val="none" w:sz="0" w:space="0" w:color="auto"/>
          </w:divBdr>
        </w:div>
        <w:div w:id="790173224">
          <w:marLeft w:val="0"/>
          <w:marRight w:val="0"/>
          <w:marTop w:val="0"/>
          <w:marBottom w:val="0"/>
          <w:divBdr>
            <w:top w:val="none" w:sz="0" w:space="0" w:color="auto"/>
            <w:left w:val="none" w:sz="0" w:space="0" w:color="auto"/>
            <w:bottom w:val="none" w:sz="0" w:space="0" w:color="auto"/>
            <w:right w:val="none" w:sz="0" w:space="0" w:color="auto"/>
          </w:divBdr>
        </w:div>
        <w:div w:id="319626400">
          <w:marLeft w:val="0"/>
          <w:marRight w:val="0"/>
          <w:marTop w:val="0"/>
          <w:marBottom w:val="0"/>
          <w:divBdr>
            <w:top w:val="none" w:sz="0" w:space="0" w:color="auto"/>
            <w:left w:val="none" w:sz="0" w:space="0" w:color="auto"/>
            <w:bottom w:val="none" w:sz="0" w:space="0" w:color="auto"/>
            <w:right w:val="none" w:sz="0" w:space="0" w:color="auto"/>
          </w:divBdr>
        </w:div>
        <w:div w:id="916132946">
          <w:marLeft w:val="0"/>
          <w:marRight w:val="0"/>
          <w:marTop w:val="0"/>
          <w:marBottom w:val="0"/>
          <w:divBdr>
            <w:top w:val="none" w:sz="0" w:space="0" w:color="auto"/>
            <w:left w:val="none" w:sz="0" w:space="0" w:color="auto"/>
            <w:bottom w:val="none" w:sz="0" w:space="0" w:color="auto"/>
            <w:right w:val="none" w:sz="0" w:space="0" w:color="auto"/>
          </w:divBdr>
        </w:div>
        <w:div w:id="153180756">
          <w:marLeft w:val="0"/>
          <w:marRight w:val="0"/>
          <w:marTop w:val="0"/>
          <w:marBottom w:val="0"/>
          <w:divBdr>
            <w:top w:val="none" w:sz="0" w:space="0" w:color="auto"/>
            <w:left w:val="none" w:sz="0" w:space="0" w:color="auto"/>
            <w:bottom w:val="none" w:sz="0" w:space="0" w:color="auto"/>
            <w:right w:val="none" w:sz="0" w:space="0" w:color="auto"/>
          </w:divBdr>
        </w:div>
        <w:div w:id="1747536355">
          <w:marLeft w:val="0"/>
          <w:marRight w:val="0"/>
          <w:marTop w:val="0"/>
          <w:marBottom w:val="0"/>
          <w:divBdr>
            <w:top w:val="none" w:sz="0" w:space="0" w:color="auto"/>
            <w:left w:val="none" w:sz="0" w:space="0" w:color="auto"/>
            <w:bottom w:val="none" w:sz="0" w:space="0" w:color="auto"/>
            <w:right w:val="none" w:sz="0" w:space="0" w:color="auto"/>
          </w:divBdr>
        </w:div>
        <w:div w:id="532576916">
          <w:marLeft w:val="0"/>
          <w:marRight w:val="0"/>
          <w:marTop w:val="0"/>
          <w:marBottom w:val="0"/>
          <w:divBdr>
            <w:top w:val="none" w:sz="0" w:space="0" w:color="auto"/>
            <w:left w:val="none" w:sz="0" w:space="0" w:color="auto"/>
            <w:bottom w:val="none" w:sz="0" w:space="0" w:color="auto"/>
            <w:right w:val="none" w:sz="0" w:space="0" w:color="auto"/>
          </w:divBdr>
        </w:div>
        <w:div w:id="1049495463">
          <w:marLeft w:val="0"/>
          <w:marRight w:val="0"/>
          <w:marTop w:val="0"/>
          <w:marBottom w:val="0"/>
          <w:divBdr>
            <w:top w:val="none" w:sz="0" w:space="0" w:color="auto"/>
            <w:left w:val="none" w:sz="0" w:space="0" w:color="auto"/>
            <w:bottom w:val="none" w:sz="0" w:space="0" w:color="auto"/>
            <w:right w:val="none" w:sz="0" w:space="0" w:color="auto"/>
          </w:divBdr>
        </w:div>
        <w:div w:id="484205158">
          <w:marLeft w:val="0"/>
          <w:marRight w:val="0"/>
          <w:marTop w:val="0"/>
          <w:marBottom w:val="0"/>
          <w:divBdr>
            <w:top w:val="none" w:sz="0" w:space="0" w:color="auto"/>
            <w:left w:val="none" w:sz="0" w:space="0" w:color="auto"/>
            <w:bottom w:val="none" w:sz="0" w:space="0" w:color="auto"/>
            <w:right w:val="none" w:sz="0" w:space="0" w:color="auto"/>
          </w:divBdr>
        </w:div>
        <w:div w:id="87242403">
          <w:marLeft w:val="0"/>
          <w:marRight w:val="0"/>
          <w:marTop w:val="0"/>
          <w:marBottom w:val="0"/>
          <w:divBdr>
            <w:top w:val="none" w:sz="0" w:space="0" w:color="auto"/>
            <w:left w:val="none" w:sz="0" w:space="0" w:color="auto"/>
            <w:bottom w:val="none" w:sz="0" w:space="0" w:color="auto"/>
            <w:right w:val="none" w:sz="0" w:space="0" w:color="auto"/>
          </w:divBdr>
        </w:div>
        <w:div w:id="557058069">
          <w:marLeft w:val="0"/>
          <w:marRight w:val="0"/>
          <w:marTop w:val="0"/>
          <w:marBottom w:val="0"/>
          <w:divBdr>
            <w:top w:val="none" w:sz="0" w:space="0" w:color="auto"/>
            <w:left w:val="none" w:sz="0" w:space="0" w:color="auto"/>
            <w:bottom w:val="none" w:sz="0" w:space="0" w:color="auto"/>
            <w:right w:val="none" w:sz="0" w:space="0" w:color="auto"/>
          </w:divBdr>
        </w:div>
        <w:div w:id="654652135">
          <w:marLeft w:val="0"/>
          <w:marRight w:val="0"/>
          <w:marTop w:val="0"/>
          <w:marBottom w:val="0"/>
          <w:divBdr>
            <w:top w:val="none" w:sz="0" w:space="0" w:color="auto"/>
            <w:left w:val="none" w:sz="0" w:space="0" w:color="auto"/>
            <w:bottom w:val="none" w:sz="0" w:space="0" w:color="auto"/>
            <w:right w:val="none" w:sz="0" w:space="0" w:color="auto"/>
          </w:divBdr>
        </w:div>
        <w:div w:id="1666593414">
          <w:marLeft w:val="0"/>
          <w:marRight w:val="0"/>
          <w:marTop w:val="0"/>
          <w:marBottom w:val="0"/>
          <w:divBdr>
            <w:top w:val="none" w:sz="0" w:space="0" w:color="auto"/>
            <w:left w:val="none" w:sz="0" w:space="0" w:color="auto"/>
            <w:bottom w:val="none" w:sz="0" w:space="0" w:color="auto"/>
            <w:right w:val="none" w:sz="0" w:space="0" w:color="auto"/>
          </w:divBdr>
        </w:div>
        <w:div w:id="1659530082">
          <w:marLeft w:val="0"/>
          <w:marRight w:val="0"/>
          <w:marTop w:val="0"/>
          <w:marBottom w:val="0"/>
          <w:divBdr>
            <w:top w:val="none" w:sz="0" w:space="0" w:color="auto"/>
            <w:left w:val="none" w:sz="0" w:space="0" w:color="auto"/>
            <w:bottom w:val="none" w:sz="0" w:space="0" w:color="auto"/>
            <w:right w:val="none" w:sz="0" w:space="0" w:color="auto"/>
          </w:divBdr>
        </w:div>
        <w:div w:id="1016426485">
          <w:marLeft w:val="0"/>
          <w:marRight w:val="0"/>
          <w:marTop w:val="0"/>
          <w:marBottom w:val="0"/>
          <w:divBdr>
            <w:top w:val="none" w:sz="0" w:space="0" w:color="auto"/>
            <w:left w:val="none" w:sz="0" w:space="0" w:color="auto"/>
            <w:bottom w:val="none" w:sz="0" w:space="0" w:color="auto"/>
            <w:right w:val="none" w:sz="0" w:space="0" w:color="auto"/>
          </w:divBdr>
        </w:div>
        <w:div w:id="744373006">
          <w:marLeft w:val="0"/>
          <w:marRight w:val="0"/>
          <w:marTop w:val="0"/>
          <w:marBottom w:val="0"/>
          <w:divBdr>
            <w:top w:val="none" w:sz="0" w:space="0" w:color="auto"/>
            <w:left w:val="none" w:sz="0" w:space="0" w:color="auto"/>
            <w:bottom w:val="none" w:sz="0" w:space="0" w:color="auto"/>
            <w:right w:val="none" w:sz="0" w:space="0" w:color="auto"/>
          </w:divBdr>
        </w:div>
        <w:div w:id="301083116">
          <w:marLeft w:val="0"/>
          <w:marRight w:val="0"/>
          <w:marTop w:val="0"/>
          <w:marBottom w:val="0"/>
          <w:divBdr>
            <w:top w:val="none" w:sz="0" w:space="0" w:color="auto"/>
            <w:left w:val="none" w:sz="0" w:space="0" w:color="auto"/>
            <w:bottom w:val="none" w:sz="0" w:space="0" w:color="auto"/>
            <w:right w:val="none" w:sz="0" w:space="0" w:color="auto"/>
          </w:divBdr>
        </w:div>
        <w:div w:id="1248731717">
          <w:marLeft w:val="0"/>
          <w:marRight w:val="0"/>
          <w:marTop w:val="0"/>
          <w:marBottom w:val="0"/>
          <w:divBdr>
            <w:top w:val="none" w:sz="0" w:space="0" w:color="auto"/>
            <w:left w:val="none" w:sz="0" w:space="0" w:color="auto"/>
            <w:bottom w:val="none" w:sz="0" w:space="0" w:color="auto"/>
            <w:right w:val="none" w:sz="0" w:space="0" w:color="auto"/>
          </w:divBdr>
        </w:div>
        <w:div w:id="1237395760">
          <w:marLeft w:val="0"/>
          <w:marRight w:val="0"/>
          <w:marTop w:val="0"/>
          <w:marBottom w:val="0"/>
          <w:divBdr>
            <w:top w:val="none" w:sz="0" w:space="0" w:color="auto"/>
            <w:left w:val="none" w:sz="0" w:space="0" w:color="auto"/>
            <w:bottom w:val="none" w:sz="0" w:space="0" w:color="auto"/>
            <w:right w:val="none" w:sz="0" w:space="0" w:color="auto"/>
          </w:divBdr>
        </w:div>
        <w:div w:id="932708721">
          <w:marLeft w:val="0"/>
          <w:marRight w:val="0"/>
          <w:marTop w:val="0"/>
          <w:marBottom w:val="0"/>
          <w:divBdr>
            <w:top w:val="none" w:sz="0" w:space="0" w:color="auto"/>
            <w:left w:val="none" w:sz="0" w:space="0" w:color="auto"/>
            <w:bottom w:val="none" w:sz="0" w:space="0" w:color="auto"/>
            <w:right w:val="none" w:sz="0" w:space="0" w:color="auto"/>
          </w:divBdr>
        </w:div>
        <w:div w:id="1491481169">
          <w:marLeft w:val="0"/>
          <w:marRight w:val="0"/>
          <w:marTop w:val="0"/>
          <w:marBottom w:val="0"/>
          <w:divBdr>
            <w:top w:val="none" w:sz="0" w:space="0" w:color="auto"/>
            <w:left w:val="none" w:sz="0" w:space="0" w:color="auto"/>
            <w:bottom w:val="none" w:sz="0" w:space="0" w:color="auto"/>
            <w:right w:val="none" w:sz="0" w:space="0" w:color="auto"/>
          </w:divBdr>
        </w:div>
        <w:div w:id="1540583267">
          <w:marLeft w:val="0"/>
          <w:marRight w:val="0"/>
          <w:marTop w:val="0"/>
          <w:marBottom w:val="0"/>
          <w:divBdr>
            <w:top w:val="none" w:sz="0" w:space="0" w:color="auto"/>
            <w:left w:val="none" w:sz="0" w:space="0" w:color="auto"/>
            <w:bottom w:val="none" w:sz="0" w:space="0" w:color="auto"/>
            <w:right w:val="none" w:sz="0" w:space="0" w:color="auto"/>
          </w:divBdr>
        </w:div>
        <w:div w:id="1219128485">
          <w:marLeft w:val="0"/>
          <w:marRight w:val="0"/>
          <w:marTop w:val="0"/>
          <w:marBottom w:val="0"/>
          <w:divBdr>
            <w:top w:val="none" w:sz="0" w:space="0" w:color="auto"/>
            <w:left w:val="none" w:sz="0" w:space="0" w:color="auto"/>
            <w:bottom w:val="none" w:sz="0" w:space="0" w:color="auto"/>
            <w:right w:val="none" w:sz="0" w:space="0" w:color="auto"/>
          </w:divBdr>
        </w:div>
        <w:div w:id="302127419">
          <w:marLeft w:val="0"/>
          <w:marRight w:val="0"/>
          <w:marTop w:val="0"/>
          <w:marBottom w:val="0"/>
          <w:divBdr>
            <w:top w:val="none" w:sz="0" w:space="0" w:color="auto"/>
            <w:left w:val="none" w:sz="0" w:space="0" w:color="auto"/>
            <w:bottom w:val="none" w:sz="0" w:space="0" w:color="auto"/>
            <w:right w:val="none" w:sz="0" w:space="0" w:color="auto"/>
          </w:divBdr>
        </w:div>
        <w:div w:id="2082940995">
          <w:marLeft w:val="0"/>
          <w:marRight w:val="0"/>
          <w:marTop w:val="0"/>
          <w:marBottom w:val="0"/>
          <w:divBdr>
            <w:top w:val="none" w:sz="0" w:space="0" w:color="auto"/>
            <w:left w:val="none" w:sz="0" w:space="0" w:color="auto"/>
            <w:bottom w:val="none" w:sz="0" w:space="0" w:color="auto"/>
            <w:right w:val="none" w:sz="0" w:space="0" w:color="auto"/>
          </w:divBdr>
        </w:div>
        <w:div w:id="763917584">
          <w:marLeft w:val="0"/>
          <w:marRight w:val="0"/>
          <w:marTop w:val="0"/>
          <w:marBottom w:val="0"/>
          <w:divBdr>
            <w:top w:val="none" w:sz="0" w:space="0" w:color="auto"/>
            <w:left w:val="none" w:sz="0" w:space="0" w:color="auto"/>
            <w:bottom w:val="none" w:sz="0" w:space="0" w:color="auto"/>
            <w:right w:val="none" w:sz="0" w:space="0" w:color="auto"/>
          </w:divBdr>
        </w:div>
        <w:div w:id="549341685">
          <w:marLeft w:val="0"/>
          <w:marRight w:val="0"/>
          <w:marTop w:val="0"/>
          <w:marBottom w:val="0"/>
          <w:divBdr>
            <w:top w:val="none" w:sz="0" w:space="0" w:color="auto"/>
            <w:left w:val="none" w:sz="0" w:space="0" w:color="auto"/>
            <w:bottom w:val="none" w:sz="0" w:space="0" w:color="auto"/>
            <w:right w:val="none" w:sz="0" w:space="0" w:color="auto"/>
          </w:divBdr>
        </w:div>
        <w:div w:id="1547794577">
          <w:marLeft w:val="0"/>
          <w:marRight w:val="0"/>
          <w:marTop w:val="0"/>
          <w:marBottom w:val="0"/>
          <w:divBdr>
            <w:top w:val="none" w:sz="0" w:space="0" w:color="auto"/>
            <w:left w:val="none" w:sz="0" w:space="0" w:color="auto"/>
            <w:bottom w:val="none" w:sz="0" w:space="0" w:color="auto"/>
            <w:right w:val="none" w:sz="0" w:space="0" w:color="auto"/>
          </w:divBdr>
        </w:div>
        <w:div w:id="81420665">
          <w:marLeft w:val="0"/>
          <w:marRight w:val="0"/>
          <w:marTop w:val="0"/>
          <w:marBottom w:val="0"/>
          <w:divBdr>
            <w:top w:val="none" w:sz="0" w:space="0" w:color="auto"/>
            <w:left w:val="none" w:sz="0" w:space="0" w:color="auto"/>
            <w:bottom w:val="none" w:sz="0" w:space="0" w:color="auto"/>
            <w:right w:val="none" w:sz="0" w:space="0" w:color="auto"/>
          </w:divBdr>
        </w:div>
        <w:div w:id="112359792">
          <w:marLeft w:val="0"/>
          <w:marRight w:val="0"/>
          <w:marTop w:val="0"/>
          <w:marBottom w:val="0"/>
          <w:divBdr>
            <w:top w:val="none" w:sz="0" w:space="0" w:color="auto"/>
            <w:left w:val="none" w:sz="0" w:space="0" w:color="auto"/>
            <w:bottom w:val="none" w:sz="0" w:space="0" w:color="auto"/>
            <w:right w:val="none" w:sz="0" w:space="0" w:color="auto"/>
          </w:divBdr>
        </w:div>
        <w:div w:id="1834713045">
          <w:marLeft w:val="0"/>
          <w:marRight w:val="0"/>
          <w:marTop w:val="0"/>
          <w:marBottom w:val="0"/>
          <w:divBdr>
            <w:top w:val="none" w:sz="0" w:space="0" w:color="auto"/>
            <w:left w:val="none" w:sz="0" w:space="0" w:color="auto"/>
            <w:bottom w:val="none" w:sz="0" w:space="0" w:color="auto"/>
            <w:right w:val="none" w:sz="0" w:space="0" w:color="auto"/>
          </w:divBdr>
        </w:div>
        <w:div w:id="1243636035">
          <w:marLeft w:val="0"/>
          <w:marRight w:val="0"/>
          <w:marTop w:val="0"/>
          <w:marBottom w:val="0"/>
          <w:divBdr>
            <w:top w:val="none" w:sz="0" w:space="0" w:color="auto"/>
            <w:left w:val="none" w:sz="0" w:space="0" w:color="auto"/>
            <w:bottom w:val="none" w:sz="0" w:space="0" w:color="auto"/>
            <w:right w:val="none" w:sz="0" w:space="0" w:color="auto"/>
          </w:divBdr>
        </w:div>
        <w:div w:id="1924950391">
          <w:marLeft w:val="0"/>
          <w:marRight w:val="0"/>
          <w:marTop w:val="0"/>
          <w:marBottom w:val="0"/>
          <w:divBdr>
            <w:top w:val="none" w:sz="0" w:space="0" w:color="auto"/>
            <w:left w:val="none" w:sz="0" w:space="0" w:color="auto"/>
            <w:bottom w:val="none" w:sz="0" w:space="0" w:color="auto"/>
            <w:right w:val="none" w:sz="0" w:space="0" w:color="auto"/>
          </w:divBdr>
        </w:div>
      </w:divsChild>
    </w:div>
    <w:div w:id="1674726735">
      <w:bodyDiv w:val="1"/>
      <w:marLeft w:val="0"/>
      <w:marRight w:val="0"/>
      <w:marTop w:val="0"/>
      <w:marBottom w:val="0"/>
      <w:divBdr>
        <w:top w:val="none" w:sz="0" w:space="0" w:color="auto"/>
        <w:left w:val="none" w:sz="0" w:space="0" w:color="auto"/>
        <w:bottom w:val="none" w:sz="0" w:space="0" w:color="auto"/>
        <w:right w:val="none" w:sz="0" w:space="0" w:color="auto"/>
      </w:divBdr>
    </w:div>
    <w:div w:id="19896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1184</Words>
  <Characters>6754</Characters>
  <Application>Microsoft Office Word</Application>
  <DocSecurity>0</DocSecurity>
  <Lines>56</Lines>
  <Paragraphs>15</Paragraphs>
  <ScaleCrop>false</ScaleCrop>
  <Company>servyou</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shaofd</dc:creator>
  <cp:keywords/>
  <dc:description/>
  <cp:lastModifiedBy>shaofd</cp:lastModifiedBy>
  <cp:revision>2</cp:revision>
  <cp:lastPrinted>2018-03-21T23:35:00Z</cp:lastPrinted>
  <dcterms:created xsi:type="dcterms:W3CDTF">2018-06-15T01:24:00Z</dcterms:created>
  <dcterms:modified xsi:type="dcterms:W3CDTF">2018-06-15T01:24:00Z</dcterms:modified>
</cp:coreProperties>
</file>