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Style w:val="4"/>
          <w:rFonts w:hint="eastAsia" w:ascii="黑体" w:hAnsi="宋体" w:eastAsia="黑体" w:cs="黑体"/>
          <w:i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附件一：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222222"/>
          <w:spacing w:val="0"/>
          <w:sz w:val="36"/>
          <w:szCs w:val="36"/>
          <w:shd w:val="clear" w:fill="FFFFFF"/>
        </w:rPr>
        <w:t>应税所得率表</w:t>
      </w:r>
    </w:p>
    <w:tbl>
      <w:tblPr>
        <w:tblW w:w="7605" w:type="dxa"/>
        <w:jc w:val="center"/>
        <w:tblCellSpacing w:w="15" w:type="dxa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915"/>
        <w:gridCol w:w="375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372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类    别   名   称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应税所得率(%)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门类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大类</w:t>
            </w:r>
          </w:p>
        </w:tc>
        <w:tc>
          <w:tcPr>
            <w:tcW w:w="372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A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01-05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农、林、牧、渔业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B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06-12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采矿业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13-43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食品制造业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酒、饮料和精制茶制造业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纺织业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纺织服装、服饰业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家具制造业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文教、工美、体育和娱乐用品</w:t>
            </w: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化学原料和化学制品制造业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医药制造业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橡胶和塑料制品业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非金属矿物制品业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金属制品业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通用设备制造业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专用设备制造业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汽车制造业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铁路、船舶、航空航天和其他运输设备制造业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电气机械和器材制造业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废弃资源综合利用业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D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44-46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电力、热力、燃气及水生产和供应业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E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47-50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建筑业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F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51-52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批发和零售业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批发业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零售业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G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53-60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交通运输、仓储和邮政业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7-15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591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其中：装卸搬运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H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61-62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住宿和餐饮业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住宿业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其中：住宿业(611旅游饭店)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餐饮业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餐饮业(621正餐服务)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餐饮业（622快餐服务）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餐饮业（623饮料及冷饮服务）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 (6233酒吧服务)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I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63-65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信息传输、软件和信息技术服务业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J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66-69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金融业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K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房地产业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房地产业(702物业管理)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房地产业(703房地产中介服务)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房地产业（704房地产租赁经营）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L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71-72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租赁和商务服务业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租赁业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商务服务业(725广告业)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其中：广告代理业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商务服务业(726人力资源服务)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7262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其中：职业中介服务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7291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商务服务业(旅行社及相关服务)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M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73-75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科学研究和技术服务业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专业技术服务业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科技推广和应用服务业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76-79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水利、环境和公共设施管理业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O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80-82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居民服务、修理和其他服务业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居民服务业(804理发及美容服务)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居民服务业(8051洗浴服务)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    其中：大众洗浴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居民服务业(8052足浴服务)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居民服务业(8053养生保健服务)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P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教育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Q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84-85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卫生和社会工作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R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86-90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文化、体育和娱乐业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娱乐业(901室内娱乐活动)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20-30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15-30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7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S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91-96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公共管理、社会保障和社会组织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sz w:val="18"/>
                <w:szCs w:val="18"/>
                <w:bdr w:val="none" w:color="auto" w:sz="0" w:space="0"/>
              </w:rPr>
              <w:t>10-30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default" w:ascii="仿宋_GB2312" w:hAnsi="Arial" w:eastAsia="仿宋_GB2312" w:cs="仿宋_GB2312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注：本表所列行业参照《国民经济行业分类》（GB/T 4754-2017）执行。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default" w:ascii="仿宋_GB2312" w:hAnsi="Arial" w:eastAsia="仿宋_GB2312" w:cs="仿宋_GB2312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default" w:ascii="仿宋_GB2312" w:hAnsi="Arial" w:eastAsia="仿宋_GB2312" w:cs="仿宋_GB2312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仿宋_GB2312" w:hAnsi="Arial" w:eastAsia="仿宋_GB2312" w:cs="仿宋_GB2312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附件二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ascii="华文中宋" w:hAnsi="华文中宋" w:eastAsia="华文中宋" w:cs="华文中宋"/>
          <w:b/>
          <w:color w:val="333333"/>
          <w:sz w:val="43"/>
          <w:szCs w:val="43"/>
          <w:bdr w:val="none" w:color="auto" w:sz="0" w:space="0"/>
        </w:rPr>
        <w:t>企业所得税核定征收鉴定表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b w:val="0"/>
          <w:color w:val="333333"/>
          <w:sz w:val="22"/>
          <w:szCs w:val="22"/>
          <w:bdr w:val="none" w:color="auto" w:sz="0" w:space="0"/>
        </w:rPr>
        <w:t>纳税人统一社会信用代码（纳税人识别号）：                  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b w:val="0"/>
          <w:color w:val="333333"/>
          <w:sz w:val="22"/>
          <w:szCs w:val="22"/>
          <w:bdr w:val="none" w:color="auto" w:sz="0" w:space="0"/>
        </w:rPr>
        <w:t>鉴定期：         年度                                      金额单位：元</w:t>
      </w:r>
    </w:p>
    <w:tbl>
      <w:tblPr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1390"/>
        <w:gridCol w:w="1050"/>
        <w:gridCol w:w="803"/>
        <w:gridCol w:w="324"/>
        <w:gridCol w:w="1529"/>
        <w:gridCol w:w="92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纳税人名称</w:t>
            </w:r>
          </w:p>
        </w:tc>
        <w:tc>
          <w:tcPr>
            <w:tcW w:w="6256" w:type="dxa"/>
            <w:gridSpan w:val="6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地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址</w:t>
            </w:r>
          </w:p>
        </w:tc>
        <w:tc>
          <w:tcPr>
            <w:tcW w:w="6256" w:type="dxa"/>
            <w:gridSpan w:val="6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经济性质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行业类别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开户银行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账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号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上年收入总额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上年成本费用额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" w:hRule="atLeast"/>
        </w:trPr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上年注册资本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上年原材料耗费量（额）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上年职工人数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上年燃料、动力耗费量（额）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0" w:hRule="atLeast"/>
        </w:trPr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上年固定资产原值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上年商品销售量（额）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6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上年所得税额</w:t>
            </w:r>
          </w:p>
        </w:tc>
        <w:tc>
          <w:tcPr>
            <w:tcW w:w="1853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上年征收方式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行次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项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目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纳税人自报情况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主管税务机关审核意见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账簿设置情况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收入核算情况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成本费用核算情况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纳税申报情况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履行纳税义务情况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4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其他情况</w:t>
            </w:r>
          </w:p>
        </w:tc>
        <w:tc>
          <w:tcPr>
            <w:tcW w:w="2656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80" w:hRule="atLeast"/>
        </w:trPr>
        <w:tc>
          <w:tcPr>
            <w:tcW w:w="4323" w:type="dxa"/>
            <w:gridSpan w:val="5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纳税人对征收方式的意见：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经办人签章：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日</w:t>
            </w:r>
          </w:p>
        </w:tc>
        <w:tc>
          <w:tcPr>
            <w:tcW w:w="4079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主管税务机关意见：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  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经办人签章：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      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  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65" w:hRule="atLeast"/>
        </w:trPr>
        <w:tc>
          <w:tcPr>
            <w:tcW w:w="8402" w:type="dxa"/>
            <w:gridSpan w:val="8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县级税务机关审核意见：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570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经办人签章：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 xml:space="preserve">                                                            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 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  <w:bdr w:val="none" w:color="auto" w:sz="0" w:space="0"/>
              </w:rPr>
              <w:t>      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6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926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210"/>
      </w:pPr>
      <w:r>
        <w:rPr>
          <w:rFonts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default"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1. 本表用于税务机关对纳税人企业所得税核定征收时使用。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default"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2. 本表一式三联，主管税务机关两联,纳税人一联。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default"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3. 纳税人在收到本表之日起10个工作日内，按企业实际情况进行填报。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default"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4．上年征收方式栏请选择填写“核定征收”或“查账征收”。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</w:pPr>
      <w:r>
        <w:rPr>
          <w:rFonts w:hint="default" w:ascii="仿宋_GB2312" w:hAnsi="微软雅黑" w:eastAsia="仿宋_GB2312" w:cs="仿宋_GB2312"/>
          <w:b w:val="0"/>
          <w:color w:val="333333"/>
          <w:sz w:val="22"/>
          <w:szCs w:val="22"/>
          <w:bdr w:val="none" w:color="auto" w:sz="0" w:space="0"/>
        </w:rPr>
        <w:t>5. 纳税人对征收方式的意见栏请填写对本年征收方式的意见。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3D11"/>
    <w:rsid w:val="0C1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2018-03-19T08:01:00Z</dcterms:created>
  <dc:creator>Administrator</dc:creator>
  <cp:lastModifiedBy>Administrator</cp:lastModifiedBy>
  <dcterms:modified xsi:type="dcterms:W3CDTF">2018-03-19T08:03:57Z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