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9A1" w:rsidRDefault="00F309A1">
      <w:pPr>
        <w:spacing w:line="578" w:lineRule="exact"/>
        <w:jc w:val="center"/>
        <w:rPr>
          <w:rFonts w:ascii="方正小标宋简体" w:eastAsia="方正小标宋简体" w:hAnsi="方正小标宋简体"/>
          <w:b/>
          <w:bCs/>
          <w:sz w:val="36"/>
          <w:szCs w:val="36"/>
          <w:u w:val="single"/>
        </w:rPr>
      </w:pPr>
    </w:p>
    <w:p w:rsidR="00F309A1" w:rsidRDefault="008839CD">
      <w:pPr>
        <w:spacing w:line="578" w:lineRule="exact"/>
        <w:jc w:val="center"/>
        <w:rPr>
          <w:rFonts w:ascii="方正小标宋简体" w:eastAsia="方正小标宋简体" w:hAnsi="黑体" w:cs="方正小标宋简体"/>
          <w:b/>
          <w:bCs/>
          <w:color w:val="000000"/>
          <w:sz w:val="36"/>
          <w:szCs w:val="36"/>
        </w:rPr>
      </w:pPr>
      <w:r>
        <w:rPr>
          <w:rFonts w:ascii="方正小标宋简体" w:eastAsia="方正小标宋简体" w:hAnsi="黑体" w:cs="方正小标宋简体" w:hint="eastAsia"/>
          <w:b/>
          <w:bCs/>
          <w:color w:val="000000"/>
          <w:sz w:val="36"/>
          <w:szCs w:val="36"/>
        </w:rPr>
        <w:t>《网络交易违法失信惩戒</w:t>
      </w:r>
    </w:p>
    <w:p w:rsidR="00F309A1" w:rsidRDefault="008839CD">
      <w:pPr>
        <w:spacing w:line="578" w:lineRule="exact"/>
        <w:jc w:val="center"/>
        <w:rPr>
          <w:rFonts w:ascii="方正小标宋简体" w:eastAsia="方正小标宋简体" w:hAnsi="黑体" w:cs="方正小标宋简体"/>
          <w:b/>
          <w:bCs/>
          <w:color w:val="000000"/>
          <w:sz w:val="36"/>
          <w:szCs w:val="36"/>
        </w:rPr>
      </w:pPr>
      <w:r>
        <w:rPr>
          <w:rFonts w:ascii="方正小标宋简体" w:eastAsia="方正小标宋简体" w:hAnsi="黑体" w:cs="方正小标宋简体" w:hint="eastAsia"/>
          <w:b/>
          <w:bCs/>
          <w:color w:val="000000"/>
          <w:sz w:val="36"/>
          <w:szCs w:val="36"/>
        </w:rPr>
        <w:t>暂行办法（征求意见稿）》起草</w:t>
      </w:r>
      <w:r>
        <w:rPr>
          <w:rFonts w:ascii="方正小标宋简体" w:eastAsia="方正小标宋简体" w:hAnsi="黑体" w:cs="方正小标宋简体" w:hint="eastAsia"/>
          <w:b/>
          <w:bCs/>
          <w:sz w:val="36"/>
          <w:szCs w:val="36"/>
        </w:rPr>
        <w:t>说明</w:t>
      </w:r>
    </w:p>
    <w:p w:rsidR="00F309A1" w:rsidRDefault="00F309A1">
      <w:pPr>
        <w:spacing w:line="560" w:lineRule="exact"/>
        <w:rPr>
          <w:rFonts w:ascii="黑体" w:eastAsia="黑体" w:hAnsi="黑体"/>
          <w:b/>
          <w:sz w:val="36"/>
          <w:szCs w:val="36"/>
        </w:rPr>
      </w:pPr>
    </w:p>
    <w:p w:rsidR="00F309A1" w:rsidRDefault="008839CD">
      <w:pPr>
        <w:spacing w:line="578" w:lineRule="exact"/>
        <w:rPr>
          <w:rFonts w:ascii="仿宋_GB2312" w:eastAsia="仿宋_GB2312" w:hAnsi="黑体"/>
          <w:sz w:val="32"/>
          <w:szCs w:val="32"/>
        </w:rPr>
      </w:pPr>
      <w:r>
        <w:rPr>
          <w:rFonts w:ascii="黑体" w:eastAsia="黑体" w:hAnsi="黑体" w:cs="黑体" w:hint="eastAsia"/>
          <w:sz w:val="32"/>
          <w:szCs w:val="32"/>
        </w:rPr>
        <w:t xml:space="preserve">    </w:t>
      </w:r>
      <w:r>
        <w:rPr>
          <w:rFonts w:eastAsia="仿宋_GB2312" w:cs="仿宋_GB2312" w:hint="eastAsia"/>
          <w:sz w:val="32"/>
          <w:szCs w:val="32"/>
        </w:rPr>
        <w:t>为深化落实《消费者权益保护法》《反不正当竞争法》《企业信息公示暂行条例》《网络交易管理办法》等法律、行政法规和规章，加强对网络交易违法失信行为的规制，促进网络经营者诚信自律，完善市场信用体系，推动网络经济持续健康发展，工商总局研究起草了《网络交易违法失信惩戒暂行办法（征求意见稿）》</w:t>
      </w:r>
      <w:r w:rsidR="003C38C4">
        <w:rPr>
          <w:rFonts w:eastAsia="仿宋_GB2312" w:cs="仿宋_GB2312" w:hint="eastAsia"/>
          <w:sz w:val="32"/>
          <w:szCs w:val="32"/>
        </w:rPr>
        <w:t>（以下简称《办法》）</w:t>
      </w:r>
      <w:r>
        <w:rPr>
          <w:rFonts w:eastAsia="仿宋_GB2312" w:cs="仿宋_GB2312" w:hint="eastAsia"/>
          <w:sz w:val="32"/>
          <w:szCs w:val="32"/>
        </w:rPr>
        <w:t>。起草情况说明如下：</w:t>
      </w:r>
    </w:p>
    <w:p w:rsidR="00F309A1" w:rsidRDefault="008839CD">
      <w:pPr>
        <w:spacing w:line="578" w:lineRule="exact"/>
        <w:ind w:firstLineChars="200" w:firstLine="643"/>
        <w:rPr>
          <w:rFonts w:ascii="黑体" w:eastAsia="黑体" w:hAnsi="黑体"/>
          <w:b/>
          <w:bCs/>
          <w:sz w:val="32"/>
          <w:szCs w:val="32"/>
        </w:rPr>
      </w:pPr>
      <w:r>
        <w:rPr>
          <w:rFonts w:ascii="黑体" w:eastAsia="黑体" w:hAnsi="黑体" w:cs="黑体" w:hint="eastAsia"/>
          <w:b/>
          <w:bCs/>
          <w:sz w:val="32"/>
          <w:szCs w:val="32"/>
        </w:rPr>
        <w:t>一、起草背景</w:t>
      </w:r>
    </w:p>
    <w:p w:rsidR="00F309A1" w:rsidRDefault="008839CD" w:rsidP="000C3D90">
      <w:pPr>
        <w:spacing w:line="578" w:lineRule="exact"/>
        <w:ind w:firstLineChars="200" w:firstLine="640"/>
        <w:rPr>
          <w:rFonts w:eastAsia="仿宋_GB2312"/>
          <w:sz w:val="32"/>
          <w:szCs w:val="32"/>
        </w:rPr>
      </w:pPr>
      <w:r>
        <w:rPr>
          <w:rFonts w:eastAsia="仿宋_GB2312" w:cs="仿宋_GB2312" w:hint="eastAsia"/>
          <w:sz w:val="32"/>
          <w:szCs w:val="32"/>
        </w:rPr>
        <w:t>社会信用体系是社会主义市场经济条件下社会治理体系的重要组成部分。</w:t>
      </w:r>
      <w:r w:rsidR="000C3D90">
        <w:rPr>
          <w:rFonts w:eastAsia="仿宋_GB2312" w:cs="仿宋_GB2312" w:hint="eastAsia"/>
          <w:sz w:val="32"/>
          <w:szCs w:val="32"/>
        </w:rPr>
        <w:t>现阶段，监管部门对市场主体的信用监管主要通过信用信息公示来实现。</w:t>
      </w:r>
      <w:r>
        <w:rPr>
          <w:rFonts w:eastAsia="仿宋_GB2312" w:cs="仿宋_GB2312" w:hint="eastAsia"/>
          <w:sz w:val="32"/>
          <w:szCs w:val="32"/>
        </w:rPr>
        <w:t>信用信息公示作为信用监管的重要手段，能够促使市场经营主体重视自身信用，规范经营行为</w:t>
      </w:r>
      <w:r w:rsidR="000C3D90">
        <w:rPr>
          <w:rFonts w:eastAsia="仿宋_GB2312" w:cs="仿宋_GB2312" w:hint="eastAsia"/>
          <w:sz w:val="32"/>
          <w:szCs w:val="32"/>
        </w:rPr>
        <w:t>，</w:t>
      </w:r>
      <w:r>
        <w:rPr>
          <w:rFonts w:eastAsia="仿宋_GB2312" w:cs="仿宋_GB2312" w:hint="eastAsia"/>
          <w:sz w:val="32"/>
          <w:szCs w:val="32"/>
        </w:rPr>
        <w:t>但静态、单一的信用信息公示手段在网络市场环境中表现出诸多不适应性，对网络市场违法失信行为</w:t>
      </w:r>
      <w:r w:rsidR="000C3D90">
        <w:rPr>
          <w:rFonts w:eastAsia="仿宋_GB2312" w:cs="仿宋_GB2312" w:hint="eastAsia"/>
          <w:sz w:val="32"/>
          <w:szCs w:val="32"/>
        </w:rPr>
        <w:t>难以</w:t>
      </w:r>
      <w:r>
        <w:rPr>
          <w:rFonts w:eastAsia="仿宋_GB2312" w:cs="仿宋_GB2312" w:hint="eastAsia"/>
          <w:sz w:val="32"/>
          <w:szCs w:val="32"/>
        </w:rPr>
        <w:t>达到必要的惩戒效果，影响信用监管作用的发挥。为此，工商总局从着力提升网络市场信用监管效能出发，遵循责任承担对等性和惩戒措施公平性的基本理念，积极开展</w:t>
      </w:r>
      <w:r>
        <w:rPr>
          <w:rFonts w:ascii="仿宋_GB2312" w:eastAsia="仿宋_GB2312" w:cs="仿宋_GB2312" w:hint="eastAsia"/>
          <w:sz w:val="32"/>
          <w:szCs w:val="32"/>
        </w:rPr>
        <w:t>《网络交易违法失信惩戒暂行办法》的研究起草工作。工商总局在广泛调研过程中全面收集材料，充分听取各方意见，经过反复修改完善，形成了</w:t>
      </w:r>
      <w:r>
        <w:rPr>
          <w:rFonts w:eastAsia="仿宋_GB2312" w:cs="仿宋_GB2312" w:hint="eastAsia"/>
          <w:sz w:val="32"/>
          <w:szCs w:val="32"/>
        </w:rPr>
        <w:t>《办法》。</w:t>
      </w:r>
    </w:p>
    <w:p w:rsidR="00F309A1" w:rsidRDefault="008839CD">
      <w:pPr>
        <w:spacing w:line="560" w:lineRule="exact"/>
        <w:rPr>
          <w:rFonts w:ascii="黑体" w:eastAsia="黑体" w:hAnsi="黑体"/>
          <w:b/>
          <w:bCs/>
          <w:sz w:val="32"/>
          <w:szCs w:val="32"/>
        </w:rPr>
      </w:pPr>
      <w:r>
        <w:rPr>
          <w:rFonts w:ascii="黑体" w:eastAsia="黑体" w:hAnsi="黑体" w:cs="黑体"/>
          <w:sz w:val="32"/>
          <w:szCs w:val="32"/>
        </w:rPr>
        <w:lastRenderedPageBreak/>
        <w:t xml:space="preserve">    </w:t>
      </w:r>
      <w:r>
        <w:rPr>
          <w:rFonts w:ascii="黑体" w:eastAsia="黑体" w:hAnsi="黑体" w:cs="黑体"/>
          <w:b/>
          <w:bCs/>
          <w:sz w:val="32"/>
          <w:szCs w:val="32"/>
        </w:rPr>
        <w:t xml:space="preserve"> </w:t>
      </w:r>
      <w:r>
        <w:rPr>
          <w:rFonts w:ascii="黑体" w:eastAsia="黑体" w:hAnsi="黑体" w:cs="黑体" w:hint="eastAsia"/>
          <w:b/>
          <w:bCs/>
          <w:sz w:val="32"/>
          <w:szCs w:val="32"/>
        </w:rPr>
        <w:t>二、制定《办法》的必要性</w:t>
      </w:r>
    </w:p>
    <w:p w:rsidR="00F309A1" w:rsidRDefault="008839CD">
      <w:pPr>
        <w:spacing w:line="578" w:lineRule="exact"/>
        <w:ind w:firstLineChars="200" w:firstLine="643"/>
        <w:rPr>
          <w:rFonts w:ascii="楷体_GB2312" w:eastAsia="楷体_GB2312" w:hAnsi="仿宋" w:cs="楷体_GB2312"/>
          <w:b/>
          <w:bCs/>
          <w:sz w:val="32"/>
          <w:szCs w:val="32"/>
        </w:rPr>
      </w:pPr>
      <w:r>
        <w:rPr>
          <w:rFonts w:ascii="楷体_GB2312" w:eastAsia="楷体_GB2312" w:hAnsi="仿宋" w:cs="楷体_GB2312" w:hint="eastAsia"/>
          <w:b/>
          <w:bCs/>
          <w:sz w:val="32"/>
          <w:szCs w:val="32"/>
        </w:rPr>
        <w:t>（一）《办法》是完善社会信用体系、营造网络市场公平竞争环境的客观现实需要</w:t>
      </w:r>
    </w:p>
    <w:p w:rsidR="00F309A1" w:rsidRDefault="008839CD">
      <w:pPr>
        <w:spacing w:line="578"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随着网络消费在全社会消费总额中的比重不断上升，网络市场信用建设已经成为当前社会信用体系建设的一个关键领域。相对于实体市场</w:t>
      </w:r>
      <w:r w:rsidR="000C3D90">
        <w:rPr>
          <w:rFonts w:ascii="仿宋_GB2312" w:eastAsia="仿宋_GB2312" w:hAnsi="仿宋" w:cs="仿宋_GB2312" w:hint="eastAsia"/>
          <w:sz w:val="32"/>
          <w:szCs w:val="32"/>
        </w:rPr>
        <w:t>，网络市场需要</w:t>
      </w:r>
      <w:r>
        <w:rPr>
          <w:rFonts w:ascii="仿宋_GB2312" w:eastAsia="仿宋_GB2312" w:hAnsi="仿宋" w:cs="仿宋_GB2312" w:hint="eastAsia"/>
          <w:sz w:val="32"/>
          <w:szCs w:val="32"/>
        </w:rPr>
        <w:t>更</w:t>
      </w:r>
      <w:r w:rsidR="000C3D90">
        <w:rPr>
          <w:rFonts w:ascii="仿宋_GB2312" w:eastAsia="仿宋_GB2312" w:hAnsi="仿宋" w:cs="仿宋_GB2312" w:hint="eastAsia"/>
          <w:sz w:val="32"/>
          <w:szCs w:val="32"/>
        </w:rPr>
        <w:t>高</w:t>
      </w:r>
      <w:r>
        <w:rPr>
          <w:rFonts w:ascii="仿宋_GB2312" w:eastAsia="仿宋_GB2312" w:hAnsi="仿宋" w:cs="仿宋_GB2312" w:hint="eastAsia"/>
          <w:sz w:val="32"/>
          <w:szCs w:val="32"/>
        </w:rPr>
        <w:t>的信用依赖度，网络市场的持续发展必须建立在良好的信用基础之上。打击违法失信，</w:t>
      </w:r>
      <w:r w:rsidR="000C3D90">
        <w:rPr>
          <w:rFonts w:ascii="仿宋_GB2312" w:eastAsia="仿宋_GB2312" w:hAnsi="仿宋" w:cs="仿宋_GB2312" w:hint="eastAsia"/>
          <w:sz w:val="32"/>
          <w:szCs w:val="32"/>
        </w:rPr>
        <w:t>引导、鼓励</w:t>
      </w:r>
      <w:r>
        <w:rPr>
          <w:rFonts w:ascii="仿宋_GB2312" w:eastAsia="仿宋_GB2312" w:hAnsi="仿宋" w:cs="仿宋_GB2312" w:hint="eastAsia"/>
          <w:sz w:val="32"/>
          <w:szCs w:val="32"/>
        </w:rPr>
        <w:t>守法诚信，才能切实创造公平竞争的网络营商环境，不断巩固网络市场的信用基础。对网络交易违法失信行为进行有效惩戒，是加强网络市场监管力度的重要手段，更是完善社会信用体系的有效途径。</w:t>
      </w:r>
    </w:p>
    <w:p w:rsidR="00F309A1" w:rsidRDefault="008839CD">
      <w:pPr>
        <w:spacing w:line="578" w:lineRule="exact"/>
        <w:ind w:firstLineChars="200" w:firstLine="643"/>
        <w:rPr>
          <w:rFonts w:ascii="楷体_GB2312" w:eastAsia="楷体_GB2312" w:hAnsi="仿宋" w:cs="楷体_GB2312"/>
          <w:b/>
          <w:bCs/>
          <w:sz w:val="32"/>
          <w:szCs w:val="32"/>
        </w:rPr>
      </w:pPr>
      <w:r>
        <w:rPr>
          <w:rFonts w:ascii="楷体_GB2312" w:eastAsia="楷体_GB2312" w:hAnsi="仿宋" w:cs="楷体_GB2312" w:hint="eastAsia"/>
          <w:b/>
          <w:bCs/>
          <w:sz w:val="32"/>
          <w:szCs w:val="32"/>
        </w:rPr>
        <w:t>（二）《办法》是贯彻线上线下一体化监管要求、创新网络市场监管方式的有效实现途径</w:t>
      </w:r>
    </w:p>
    <w:p w:rsidR="00F309A1" w:rsidRDefault="00674526">
      <w:pPr>
        <w:spacing w:line="578" w:lineRule="exact"/>
        <w:ind w:firstLineChars="200" w:firstLine="640"/>
        <w:rPr>
          <w:rFonts w:eastAsia="仿宋_GB2312"/>
          <w:sz w:val="32"/>
          <w:szCs w:val="32"/>
        </w:rPr>
      </w:pPr>
      <w:r>
        <w:rPr>
          <w:rFonts w:eastAsia="仿宋_GB2312" w:cs="仿宋_GB2312" w:hint="eastAsia"/>
          <w:sz w:val="32"/>
          <w:szCs w:val="32"/>
        </w:rPr>
        <w:t>较之线下交易，</w:t>
      </w:r>
      <w:r w:rsidR="008839CD">
        <w:rPr>
          <w:rFonts w:eastAsia="仿宋_GB2312" w:cs="仿宋_GB2312" w:hint="eastAsia"/>
          <w:sz w:val="32"/>
          <w:szCs w:val="32"/>
        </w:rPr>
        <w:t>网络交易</w:t>
      </w:r>
      <w:r>
        <w:rPr>
          <w:rFonts w:eastAsia="仿宋_GB2312" w:cs="仿宋_GB2312" w:hint="eastAsia"/>
          <w:sz w:val="32"/>
          <w:szCs w:val="32"/>
        </w:rPr>
        <w:t>可</w:t>
      </w:r>
      <w:r w:rsidR="008839CD">
        <w:rPr>
          <w:rFonts w:eastAsia="仿宋_GB2312" w:cs="仿宋_GB2312" w:hint="eastAsia"/>
          <w:sz w:val="32"/>
          <w:szCs w:val="32"/>
        </w:rPr>
        <w:t>在短时间</w:t>
      </w:r>
      <w:r>
        <w:rPr>
          <w:rFonts w:eastAsia="仿宋_GB2312" w:cs="仿宋_GB2312" w:hint="eastAsia"/>
          <w:sz w:val="32"/>
          <w:szCs w:val="32"/>
        </w:rPr>
        <w:t>内</w:t>
      </w:r>
      <w:r w:rsidR="008839CD">
        <w:rPr>
          <w:rFonts w:eastAsia="仿宋_GB2312" w:cs="仿宋_GB2312" w:hint="eastAsia"/>
          <w:sz w:val="32"/>
          <w:szCs w:val="32"/>
        </w:rPr>
        <w:t>聚合广泛经济要素</w:t>
      </w:r>
      <w:r>
        <w:rPr>
          <w:rFonts w:eastAsia="仿宋_GB2312" w:cs="仿宋_GB2312" w:hint="eastAsia"/>
          <w:sz w:val="32"/>
          <w:szCs w:val="32"/>
        </w:rPr>
        <w:t>，产生</w:t>
      </w:r>
      <w:r w:rsidR="008839CD">
        <w:rPr>
          <w:rFonts w:eastAsia="仿宋_GB2312" w:cs="仿宋_GB2312" w:hint="eastAsia"/>
          <w:sz w:val="32"/>
          <w:szCs w:val="32"/>
        </w:rPr>
        <w:t>巨大交易体量</w:t>
      </w:r>
      <w:r>
        <w:rPr>
          <w:rFonts w:eastAsia="仿宋_GB2312" w:cs="仿宋_GB2312" w:hint="eastAsia"/>
          <w:sz w:val="32"/>
          <w:szCs w:val="32"/>
        </w:rPr>
        <w:t>。与此</w:t>
      </w:r>
      <w:r w:rsidR="008839CD">
        <w:rPr>
          <w:rFonts w:eastAsia="仿宋_GB2312" w:cs="仿宋_GB2312" w:hint="eastAsia"/>
          <w:sz w:val="32"/>
          <w:szCs w:val="32"/>
        </w:rPr>
        <w:t>同时，原有线下违法失信行为的不良影响也被严重放大。在此情势下，对线上交易中的违法失信行为进行及时有效的</w:t>
      </w:r>
      <w:r>
        <w:rPr>
          <w:rFonts w:eastAsia="仿宋_GB2312" w:cs="仿宋_GB2312" w:hint="eastAsia"/>
          <w:sz w:val="32"/>
          <w:szCs w:val="32"/>
        </w:rPr>
        <w:t>规</w:t>
      </w:r>
      <w:r w:rsidR="008839CD">
        <w:rPr>
          <w:rFonts w:eastAsia="仿宋_GB2312" w:cs="仿宋_GB2312" w:hint="eastAsia"/>
          <w:sz w:val="32"/>
          <w:szCs w:val="32"/>
        </w:rPr>
        <w:t>制、惩戒就显得尤为迫切。同时，由于网络交易参与主体变化性大、流动性强、要素传播快，对违法失信行为人仅采取警告、罚款等传统处罚手段已很难奏效，无法适应网络交易监管的需要。在消耗</w:t>
      </w:r>
      <w:r>
        <w:rPr>
          <w:rFonts w:eastAsia="仿宋_GB2312" w:cs="仿宋_GB2312" w:hint="eastAsia"/>
          <w:sz w:val="32"/>
          <w:szCs w:val="32"/>
        </w:rPr>
        <w:t>大量</w:t>
      </w:r>
      <w:r w:rsidR="008839CD">
        <w:rPr>
          <w:rFonts w:eastAsia="仿宋_GB2312" w:cs="仿宋_GB2312" w:hint="eastAsia"/>
          <w:sz w:val="32"/>
          <w:szCs w:val="32"/>
        </w:rPr>
        <w:t>行政执法资源的同时，网络交易公平竞争环境难以得到有效维护，更难以为广大网络消费者提供安全放心的网络购物环境。在推进线上线下协同发展和一体化监管要</w:t>
      </w:r>
      <w:r w:rsidR="008839CD">
        <w:rPr>
          <w:rFonts w:eastAsia="仿宋_GB2312" w:cs="仿宋_GB2312" w:hint="eastAsia"/>
          <w:sz w:val="32"/>
          <w:szCs w:val="32"/>
        </w:rPr>
        <w:lastRenderedPageBreak/>
        <w:t>求的背景下，在网络交易领域对违法失信行为进行监管手段、惩戒方式的改革创新有利于提高行政监管效能，对营造良好网络交易环境十分必要。</w:t>
      </w:r>
    </w:p>
    <w:p w:rsidR="00F309A1" w:rsidRDefault="008839CD">
      <w:pPr>
        <w:spacing w:line="560" w:lineRule="exact"/>
        <w:ind w:firstLine="645"/>
        <w:rPr>
          <w:rFonts w:ascii="楷体_GB2312" w:eastAsia="楷体_GB2312" w:hAnsi="仿宋" w:cs="楷体_GB2312"/>
          <w:b/>
          <w:bCs/>
          <w:sz w:val="32"/>
          <w:szCs w:val="32"/>
        </w:rPr>
      </w:pPr>
      <w:r>
        <w:rPr>
          <w:rFonts w:ascii="楷体_GB2312" w:eastAsia="楷体_GB2312" w:hAnsi="仿宋" w:cs="楷体_GB2312" w:hint="eastAsia"/>
          <w:b/>
          <w:bCs/>
          <w:sz w:val="32"/>
          <w:szCs w:val="32"/>
        </w:rPr>
        <w:t>（三）《办法》是推动实现社会共治、促进网络市场持续健康发展的重要制度支撑</w:t>
      </w:r>
    </w:p>
    <w:p w:rsidR="00F309A1" w:rsidRDefault="008839CD">
      <w:pPr>
        <w:spacing w:line="560" w:lineRule="exact"/>
        <w:ind w:firstLine="645"/>
        <w:rPr>
          <w:rFonts w:eastAsia="仿宋_GB2312"/>
          <w:sz w:val="32"/>
          <w:szCs w:val="32"/>
        </w:rPr>
      </w:pPr>
      <w:r>
        <w:rPr>
          <w:rFonts w:eastAsia="仿宋_GB2312" w:cs="仿宋_GB2312" w:hint="eastAsia"/>
          <w:sz w:val="32"/>
          <w:szCs w:val="32"/>
        </w:rPr>
        <w:t>《办法》的制定，有利于深入全面执行《消费者权益保护法》《反不正当竞争法》《企业信息公示暂行条例》</w:t>
      </w:r>
      <w:r w:rsidR="003C38C4">
        <w:rPr>
          <w:rFonts w:eastAsia="仿宋_GB2312" w:cs="仿宋_GB2312" w:hint="eastAsia"/>
          <w:sz w:val="32"/>
          <w:szCs w:val="32"/>
        </w:rPr>
        <w:t>《网络交易管理办法》</w:t>
      </w:r>
      <w:r>
        <w:rPr>
          <w:rFonts w:eastAsia="仿宋_GB2312" w:cs="仿宋_GB2312" w:hint="eastAsia"/>
          <w:sz w:val="32"/>
          <w:szCs w:val="32"/>
        </w:rPr>
        <w:t>等法律、行政法规和规章，</w:t>
      </w:r>
      <w:r w:rsidR="00674526">
        <w:rPr>
          <w:rFonts w:eastAsia="仿宋_GB2312" w:cs="仿宋_GB2312" w:hint="eastAsia"/>
          <w:sz w:val="32"/>
          <w:szCs w:val="32"/>
        </w:rPr>
        <w:t>聚合</w:t>
      </w:r>
      <w:r>
        <w:rPr>
          <w:rFonts w:eastAsia="仿宋_GB2312" w:cs="仿宋_GB2312" w:hint="eastAsia"/>
          <w:sz w:val="32"/>
          <w:szCs w:val="32"/>
        </w:rPr>
        <w:t>多方面</w:t>
      </w:r>
      <w:r w:rsidR="00674526">
        <w:rPr>
          <w:rFonts w:eastAsia="仿宋_GB2312" w:cs="仿宋_GB2312" w:hint="eastAsia"/>
          <w:sz w:val="32"/>
          <w:szCs w:val="32"/>
        </w:rPr>
        <w:t>力量</w:t>
      </w:r>
      <w:r>
        <w:rPr>
          <w:rFonts w:eastAsia="仿宋_GB2312" w:cs="仿宋_GB2312" w:hint="eastAsia"/>
          <w:sz w:val="32"/>
          <w:szCs w:val="32"/>
        </w:rPr>
        <w:t>，推动实现社会共治。对违法失信行为进行全方位的规制和惩戒，有助于促进网络商品经营者诚信自律，在公平竞争环境中实现优胜劣汰，深入推进供给侧结构性改革。</w:t>
      </w:r>
    </w:p>
    <w:p w:rsidR="00F309A1" w:rsidRDefault="008839CD">
      <w:pPr>
        <w:spacing w:line="578" w:lineRule="exact"/>
        <w:ind w:firstLineChars="200" w:firstLine="643"/>
        <w:rPr>
          <w:rFonts w:ascii="仿宋" w:eastAsia="仿宋" w:hAnsi="仿宋"/>
          <w:b/>
          <w:bCs/>
          <w:sz w:val="32"/>
          <w:szCs w:val="32"/>
        </w:rPr>
      </w:pPr>
      <w:r>
        <w:rPr>
          <w:rFonts w:ascii="黑体" w:eastAsia="黑体" w:hAnsi="黑体" w:cs="黑体" w:hint="eastAsia"/>
          <w:b/>
          <w:bCs/>
          <w:sz w:val="32"/>
          <w:szCs w:val="32"/>
        </w:rPr>
        <w:t>三、《办法》的主要内容</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本《办法》分六章，共二十四条，分别为总则、严重违法失信行为、一般违法失信行为、违法失信名单管理、惩戒措施、附则。主要内容为：</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第一章：阐明了制定本《办法》的法律依据、立法宗旨、惩戒概念界定和管辖机关等。</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第二章：区分不同类型经营者，分别列举了严重违法失信行为的具体范围。</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第三章</w:t>
      </w:r>
      <w:r>
        <w:rPr>
          <w:rFonts w:eastAsia="仿宋_GB2312"/>
          <w:sz w:val="32"/>
          <w:szCs w:val="32"/>
        </w:rPr>
        <w:t>:</w:t>
      </w:r>
      <w:r>
        <w:rPr>
          <w:rFonts w:eastAsia="仿宋_GB2312" w:cs="仿宋_GB2312" w:hint="eastAsia"/>
          <w:sz w:val="32"/>
          <w:szCs w:val="32"/>
        </w:rPr>
        <w:t>区分不同类型经营者，分别列举了一般违法失信行为的具体范围。</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第四章：规定了违法失信名单管理制度、严重违法失信名单</w:t>
      </w:r>
      <w:r>
        <w:rPr>
          <w:rFonts w:eastAsia="仿宋_GB2312" w:cs="仿宋_GB2312" w:hint="eastAsia"/>
          <w:sz w:val="32"/>
          <w:szCs w:val="32"/>
        </w:rPr>
        <w:lastRenderedPageBreak/>
        <w:t>和一般违法失信名单列入、移出的程序要求和救济途径等。</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第五章：区分不同类型经营者，对被列入严重违法失信名单和一般违法失信名单的经营者分别规定了轻重有别的惩戒措施。</w:t>
      </w:r>
    </w:p>
    <w:p w:rsidR="00F309A1" w:rsidRDefault="008839CD">
      <w:pPr>
        <w:spacing w:line="578" w:lineRule="exact"/>
        <w:ind w:firstLineChars="200" w:firstLine="640"/>
        <w:rPr>
          <w:rFonts w:ascii="黑体" w:eastAsia="黑体" w:hAnsi="黑体"/>
          <w:sz w:val="32"/>
          <w:szCs w:val="32"/>
        </w:rPr>
      </w:pPr>
      <w:r>
        <w:rPr>
          <w:rFonts w:eastAsia="仿宋_GB2312" w:cs="仿宋_GB2312" w:hint="eastAsia"/>
          <w:sz w:val="32"/>
          <w:szCs w:val="32"/>
        </w:rPr>
        <w:t>第六章：附则。</w:t>
      </w:r>
    </w:p>
    <w:p w:rsidR="00F309A1" w:rsidRDefault="008839CD">
      <w:pPr>
        <w:spacing w:line="578" w:lineRule="exact"/>
        <w:rPr>
          <w:rFonts w:ascii="黑体" w:eastAsia="黑体" w:hAnsi="黑体"/>
          <w:b/>
          <w:bCs/>
          <w:sz w:val="32"/>
          <w:szCs w:val="32"/>
        </w:rPr>
      </w:pPr>
      <w:r>
        <w:rPr>
          <w:rFonts w:ascii="黑体" w:eastAsia="黑体" w:hAnsi="黑体" w:cs="黑体"/>
          <w:sz w:val="32"/>
          <w:szCs w:val="32"/>
        </w:rPr>
        <w:t xml:space="preserve">    </w:t>
      </w:r>
      <w:r>
        <w:rPr>
          <w:rFonts w:ascii="黑体" w:eastAsia="黑体" w:hAnsi="黑体" w:cs="黑体" w:hint="eastAsia"/>
          <w:b/>
          <w:bCs/>
          <w:sz w:val="32"/>
          <w:szCs w:val="32"/>
        </w:rPr>
        <w:t>四、有关问题的说明</w:t>
      </w:r>
    </w:p>
    <w:p w:rsidR="00F309A1" w:rsidRDefault="008839CD">
      <w:pPr>
        <w:spacing w:line="578" w:lineRule="exact"/>
        <w:rPr>
          <w:rFonts w:ascii="楷体_GB2312" w:eastAsia="楷体_GB2312" w:hAnsi="仿宋"/>
          <w:b/>
          <w:bCs/>
          <w:sz w:val="32"/>
          <w:szCs w:val="32"/>
        </w:rPr>
      </w:pPr>
      <w:r>
        <w:rPr>
          <w:rFonts w:ascii="黑体" w:eastAsia="黑体" w:hAnsi="黑体" w:hint="eastAsia"/>
          <w:b/>
          <w:bCs/>
          <w:sz w:val="32"/>
          <w:szCs w:val="32"/>
        </w:rPr>
        <w:t xml:space="preserve">    </w:t>
      </w:r>
      <w:r>
        <w:rPr>
          <w:rFonts w:ascii="楷体_GB2312" w:eastAsia="楷体_GB2312" w:hAnsi="仿宋" w:cs="楷体_GB2312" w:hint="eastAsia"/>
          <w:b/>
          <w:bCs/>
          <w:sz w:val="32"/>
          <w:szCs w:val="32"/>
        </w:rPr>
        <w:t>（一）遵循线上线下一体化原则、坚持实体和程序并重</w:t>
      </w:r>
    </w:p>
    <w:p w:rsidR="00F309A1" w:rsidRDefault="008839CD">
      <w:pPr>
        <w:spacing w:line="578" w:lineRule="exact"/>
        <w:ind w:firstLineChars="200" w:firstLine="640"/>
        <w:rPr>
          <w:rFonts w:eastAsia="仿宋_GB2312" w:cs="仿宋_GB2312"/>
          <w:sz w:val="32"/>
          <w:szCs w:val="32"/>
        </w:rPr>
      </w:pPr>
      <w:r>
        <w:rPr>
          <w:rFonts w:eastAsia="仿宋_GB2312" w:cs="仿宋_GB2312" w:hint="eastAsia"/>
          <w:sz w:val="32"/>
          <w:szCs w:val="32"/>
        </w:rPr>
        <w:t>《办法》除根据违法失信行为的社会危害程度，规定采取公示违法信息、发布消费警示、提请屏蔽网站、停止接入服务、采取技术制约等惩戒措施外，还规定将因严重违法行为受到惩戒的网络商品经营者</w:t>
      </w:r>
      <w:r>
        <w:rPr>
          <w:rFonts w:eastAsia="仿宋_GB2312" w:cs="仿宋_GB2312" w:hint="eastAsia"/>
          <w:color w:val="000000"/>
          <w:sz w:val="32"/>
          <w:szCs w:val="32"/>
        </w:rPr>
        <w:t>列为重点监督管理对象</w:t>
      </w:r>
      <w:r>
        <w:rPr>
          <w:rFonts w:eastAsia="仿宋_GB2312" w:cs="仿宋_GB2312" w:hint="eastAsia"/>
          <w:bCs/>
          <w:color w:val="000000" w:themeColor="text1"/>
          <w:sz w:val="32"/>
          <w:szCs w:val="32"/>
        </w:rPr>
        <w:t>，</w:t>
      </w:r>
      <w:r>
        <w:rPr>
          <w:rFonts w:eastAsia="仿宋_GB2312" w:cs="仿宋_GB2312" w:hint="eastAsia"/>
          <w:color w:val="000000"/>
          <w:sz w:val="32"/>
          <w:szCs w:val="32"/>
        </w:rPr>
        <w:t>在惩戒期限内实施</w:t>
      </w:r>
      <w:r>
        <w:rPr>
          <w:rFonts w:eastAsia="仿宋_GB2312" w:cs="仿宋_GB2312" w:hint="eastAsia"/>
          <w:sz w:val="32"/>
          <w:szCs w:val="32"/>
        </w:rPr>
        <w:t>线下重点监管。</w:t>
      </w:r>
    </w:p>
    <w:p w:rsidR="00F309A1" w:rsidRDefault="008839CD">
      <w:pPr>
        <w:spacing w:line="578" w:lineRule="exact"/>
        <w:ind w:firstLineChars="200" w:firstLine="640"/>
        <w:rPr>
          <w:rFonts w:eastAsia="仿宋_GB2312"/>
          <w:sz w:val="32"/>
          <w:szCs w:val="32"/>
        </w:rPr>
      </w:pPr>
      <w:r>
        <w:rPr>
          <w:rFonts w:eastAsia="仿宋_GB2312" w:cs="仿宋_GB2312" w:hint="eastAsia"/>
          <w:sz w:val="32"/>
          <w:szCs w:val="32"/>
        </w:rPr>
        <w:t>《办法》对违法失信惩戒的认定和实施程序进行了具体规定，在明确了严重违法失信行为和一般违法失信行为的认定标准和对应的惩戒措施基础上，设置了各个环节的程序性规定，包括管辖权设置、决定程序、异议程序等，确保</w:t>
      </w:r>
      <w:r w:rsidR="00674526">
        <w:rPr>
          <w:rFonts w:eastAsia="仿宋_GB2312" w:cs="仿宋_GB2312" w:hint="eastAsia"/>
          <w:sz w:val="32"/>
          <w:szCs w:val="32"/>
        </w:rPr>
        <w:t>违法失信</w:t>
      </w:r>
      <w:r>
        <w:rPr>
          <w:rFonts w:eastAsia="仿宋_GB2312" w:cs="仿宋_GB2312" w:hint="eastAsia"/>
          <w:sz w:val="32"/>
          <w:szCs w:val="32"/>
        </w:rPr>
        <w:t>名单管理和惩戒措施实施的明确性、指向性。</w:t>
      </w:r>
    </w:p>
    <w:p w:rsidR="00F309A1" w:rsidRDefault="008839CD">
      <w:pPr>
        <w:spacing w:line="578" w:lineRule="exact"/>
        <w:ind w:firstLineChars="200" w:firstLine="643"/>
        <w:rPr>
          <w:rFonts w:eastAsia="仿宋_GB2312"/>
          <w:sz w:val="32"/>
          <w:szCs w:val="32"/>
        </w:rPr>
      </w:pPr>
      <w:r>
        <w:rPr>
          <w:rFonts w:ascii="楷体_GB2312" w:eastAsia="楷体_GB2312" w:hAnsi="仿宋" w:cs="楷体_GB2312" w:hint="eastAsia"/>
          <w:b/>
          <w:bCs/>
          <w:sz w:val="32"/>
          <w:szCs w:val="32"/>
        </w:rPr>
        <w:t>（二）创新惩戒方式，引导多方参与，着力实现社会共治</w:t>
      </w:r>
    </w:p>
    <w:p w:rsidR="00F309A1" w:rsidRDefault="008839CD">
      <w:pPr>
        <w:spacing w:line="578" w:lineRule="exact"/>
        <w:ind w:firstLineChars="200" w:firstLine="640"/>
        <w:rPr>
          <w:rFonts w:eastAsia="仿宋_GB2312" w:cs="仿宋_GB2312"/>
          <w:sz w:val="32"/>
          <w:szCs w:val="32"/>
        </w:rPr>
      </w:pPr>
      <w:r>
        <w:rPr>
          <w:rFonts w:eastAsia="仿宋_GB2312" w:cs="仿宋_GB2312" w:hint="eastAsia"/>
          <w:sz w:val="32"/>
          <w:szCs w:val="32"/>
        </w:rPr>
        <w:t>社会共治既是实施信用惩戒的方式，也是实施信用惩戒的目的。《办法》规定了部门间联合惩戒的内容。第十五条第二项规定，</w:t>
      </w:r>
      <w:r>
        <w:rPr>
          <w:rFonts w:eastAsia="仿宋_GB2312" w:cs="仿宋_GB2312" w:hint="eastAsia"/>
          <w:color w:val="000000"/>
          <w:sz w:val="32"/>
          <w:szCs w:val="32"/>
        </w:rPr>
        <w:t>工商行政管理部门对被列入严重违法失信名单的网络商品经营者、有关服务经营者，可以</w:t>
      </w:r>
      <w:r>
        <w:rPr>
          <w:rFonts w:eastAsia="仿宋_GB2312" w:cs="仿宋_GB2312" w:hint="eastAsia"/>
          <w:sz w:val="32"/>
          <w:szCs w:val="32"/>
        </w:rPr>
        <w:t>“</w:t>
      </w:r>
      <w:r>
        <w:rPr>
          <w:rFonts w:eastAsia="仿宋_GB2312" w:cs="仿宋_GB2312" w:hint="eastAsia"/>
          <w:color w:val="000000"/>
          <w:sz w:val="32"/>
          <w:szCs w:val="32"/>
        </w:rPr>
        <w:t>向网站备案地通信管理部门通报该网站违法失信行为事实和列入严重违法失信名单情况，提请依</w:t>
      </w:r>
      <w:r>
        <w:rPr>
          <w:rFonts w:eastAsia="仿宋_GB2312" w:cs="仿宋_GB2312" w:hint="eastAsia"/>
          <w:color w:val="000000"/>
          <w:sz w:val="32"/>
          <w:szCs w:val="32"/>
        </w:rPr>
        <w:lastRenderedPageBreak/>
        <w:t>照法律、行政法规、规章、联合惩戒协议等，及时采取暂时屏蔽或者停止该违法网站接入服务等必要措施”，这</w:t>
      </w:r>
      <w:r>
        <w:rPr>
          <w:rFonts w:eastAsia="仿宋_GB2312" w:cs="仿宋_GB2312" w:hint="eastAsia"/>
          <w:sz w:val="32"/>
          <w:szCs w:val="32"/>
        </w:rPr>
        <w:t>将促进现行《网络交易管理办法》第四十五、四十六条相关规定的有效实施。</w:t>
      </w:r>
    </w:p>
    <w:p w:rsidR="00F309A1" w:rsidRDefault="008839CD">
      <w:pPr>
        <w:spacing w:line="578" w:lineRule="exact"/>
        <w:ind w:firstLineChars="200" w:firstLine="640"/>
        <w:rPr>
          <w:rFonts w:ascii="仿宋_GB2312" w:eastAsia="仿宋_GB2312"/>
          <w:sz w:val="32"/>
          <w:szCs w:val="32"/>
        </w:rPr>
      </w:pPr>
      <w:r>
        <w:rPr>
          <w:rFonts w:eastAsia="仿宋_GB2312" w:cs="仿宋_GB2312" w:hint="eastAsia"/>
          <w:sz w:val="32"/>
          <w:szCs w:val="32"/>
        </w:rPr>
        <w:t>同时，《办法》明确了“</w:t>
      </w:r>
      <w:r>
        <w:rPr>
          <w:rFonts w:eastAsia="仿宋_GB2312" w:cs="仿宋_GB2312" w:hint="eastAsia"/>
          <w:color w:val="000000"/>
          <w:sz w:val="32"/>
          <w:szCs w:val="32"/>
        </w:rPr>
        <w:t>对违法失信的网络商品经营者、有关服务经营者实施部门联合惩戒，鼓励支</w:t>
      </w:r>
      <w:r>
        <w:rPr>
          <w:rFonts w:eastAsia="仿宋_GB2312" w:cs="仿宋_GB2312" w:hint="eastAsia"/>
          <w:color w:val="000000" w:themeColor="text1"/>
          <w:sz w:val="32"/>
          <w:szCs w:val="32"/>
        </w:rPr>
        <w:t>持</w:t>
      </w:r>
      <w:r>
        <w:rPr>
          <w:rFonts w:eastAsia="仿宋_GB2312" w:cs="仿宋_GB2312" w:hint="eastAsia"/>
          <w:bCs/>
          <w:color w:val="000000" w:themeColor="text1"/>
          <w:sz w:val="32"/>
          <w:szCs w:val="32"/>
        </w:rPr>
        <w:t>有关行业协会、消费者组织、有关服务经营者和其他互联网企业</w:t>
      </w:r>
      <w:r>
        <w:rPr>
          <w:rFonts w:eastAsia="仿宋_GB2312" w:cs="仿宋_GB2312" w:hint="eastAsia"/>
          <w:color w:val="000000" w:themeColor="text1"/>
          <w:sz w:val="32"/>
          <w:szCs w:val="32"/>
        </w:rPr>
        <w:t>参与惩戒措施的协同实施</w:t>
      </w:r>
      <w:r>
        <w:rPr>
          <w:rFonts w:eastAsia="仿宋_GB2312" w:cs="仿宋_GB2312" w:hint="eastAsia"/>
          <w:sz w:val="32"/>
          <w:szCs w:val="32"/>
        </w:rPr>
        <w:t>”，支持</w:t>
      </w:r>
      <w:r>
        <w:rPr>
          <w:rFonts w:eastAsia="仿宋_GB2312" w:cs="仿宋_GB2312" w:hint="eastAsia"/>
          <w:color w:val="000000"/>
          <w:sz w:val="32"/>
          <w:szCs w:val="32"/>
        </w:rPr>
        <w:t>各方参与，借</w:t>
      </w:r>
      <w:r>
        <w:rPr>
          <w:rFonts w:eastAsia="仿宋_GB2312" w:cs="仿宋_GB2312" w:hint="eastAsia"/>
          <w:sz w:val="32"/>
          <w:szCs w:val="32"/>
        </w:rPr>
        <w:t>助网络搜索引擎、浏览器、杀防病毒软件、第三方软件下载平台、智能设备操作系统和移动社交工具，创新运用在线实时触发提醒等方式，最大范围</w:t>
      </w:r>
      <w:r w:rsidR="00674526">
        <w:rPr>
          <w:rFonts w:eastAsia="仿宋_GB2312" w:cs="仿宋_GB2312" w:hint="eastAsia"/>
          <w:sz w:val="32"/>
          <w:szCs w:val="32"/>
        </w:rPr>
        <w:t>地向</w:t>
      </w:r>
      <w:r>
        <w:rPr>
          <w:rFonts w:eastAsia="仿宋_GB2312" w:cs="仿宋_GB2312" w:hint="eastAsia"/>
          <w:sz w:val="32"/>
          <w:szCs w:val="32"/>
        </w:rPr>
        <w:t>网络</w:t>
      </w:r>
      <w:r w:rsidR="00756898">
        <w:rPr>
          <w:rFonts w:eastAsia="仿宋_GB2312" w:cs="仿宋_GB2312" w:hint="eastAsia"/>
          <w:sz w:val="32"/>
          <w:szCs w:val="32"/>
        </w:rPr>
        <w:t>潜在</w:t>
      </w:r>
      <w:r>
        <w:rPr>
          <w:rFonts w:eastAsia="仿宋_GB2312" w:cs="仿宋_GB2312" w:hint="eastAsia"/>
          <w:sz w:val="32"/>
          <w:szCs w:val="32"/>
        </w:rPr>
        <w:t>消费者发布网络消费安全提示，从而精准实现对违法失信主体的有力制约。这为</w:t>
      </w:r>
      <w:r>
        <w:rPr>
          <w:rFonts w:ascii="仿宋_GB2312" w:eastAsia="仿宋_GB2312" w:hint="eastAsia"/>
          <w:sz w:val="32"/>
          <w:szCs w:val="32"/>
        </w:rPr>
        <w:t>引导多方参与、创新惩戒方式提供了较为明确的指向和依据。</w:t>
      </w:r>
    </w:p>
    <w:p w:rsidR="00F309A1" w:rsidRDefault="008839CD">
      <w:pPr>
        <w:spacing w:line="578" w:lineRule="exact"/>
        <w:ind w:firstLineChars="200" w:firstLine="643"/>
        <w:rPr>
          <w:rFonts w:ascii="楷体_GB2312" w:eastAsia="楷体_GB2312" w:hAnsi="仿宋" w:cs="楷体_GB2312"/>
          <w:b/>
          <w:bCs/>
          <w:sz w:val="32"/>
          <w:szCs w:val="32"/>
        </w:rPr>
      </w:pPr>
      <w:r>
        <w:rPr>
          <w:rFonts w:ascii="楷体_GB2312" w:eastAsia="楷体_GB2312" w:hAnsi="仿宋" w:cs="楷体_GB2312" w:hint="eastAsia"/>
          <w:b/>
          <w:bCs/>
          <w:sz w:val="32"/>
          <w:szCs w:val="32"/>
        </w:rPr>
        <w:t>（三）违法失信信息共享互通，促进全网有效惩戒</w:t>
      </w:r>
    </w:p>
    <w:p w:rsidR="00F309A1" w:rsidRDefault="008839CD" w:rsidP="006912A7">
      <w:pPr>
        <w:spacing w:line="578" w:lineRule="exact"/>
        <w:ind w:firstLineChars="200" w:firstLine="640"/>
        <w:rPr>
          <w:rFonts w:ascii="仿宋_GB2312" w:eastAsia="仿宋_GB2312"/>
          <w:sz w:val="32"/>
          <w:szCs w:val="32"/>
        </w:rPr>
      </w:pPr>
      <w:r>
        <w:rPr>
          <w:rFonts w:ascii="仿宋_GB2312" w:eastAsia="仿宋_GB2312" w:hint="eastAsia"/>
          <w:sz w:val="32"/>
          <w:szCs w:val="32"/>
        </w:rPr>
        <w:t>《办法》对在各网络交易平台之间“流动”的违法失信者也作了针对性规定。工商和市场监管部门在执法中发现，有的违法者采取跨平台密集注册等方式大量开店，从而达到更加隐蔽的转移、销毁证据，掩盖违法事实，逃避执法检查的目的。为促进网络市场“一处失信，处处受限”形成常态，防止被查处的违法经营者在其他网络交易平台内继续实施违法失信行为，《办法》明确建立违法失信行为人信息互通共享机制，从而及时发现、</w:t>
      </w:r>
      <w:r w:rsidR="00756898">
        <w:rPr>
          <w:rFonts w:ascii="仿宋_GB2312" w:eastAsia="仿宋_GB2312" w:hint="eastAsia"/>
          <w:sz w:val="32"/>
          <w:szCs w:val="32"/>
        </w:rPr>
        <w:t>关闭</w:t>
      </w:r>
      <w:r>
        <w:rPr>
          <w:rFonts w:ascii="仿宋_GB2312" w:eastAsia="仿宋_GB2312" w:hint="eastAsia"/>
          <w:sz w:val="32"/>
          <w:szCs w:val="32"/>
        </w:rPr>
        <w:t>被查处的违法失信经营者在其他网络交易平台继续违法经营的店铺。《办法》规定对违法失信行为人有关信息进行多渠道公示，</w:t>
      </w:r>
      <w:r w:rsidR="006912A7">
        <w:rPr>
          <w:rFonts w:ascii="仿宋_GB2312" w:eastAsia="仿宋_GB2312" w:hint="eastAsia"/>
          <w:sz w:val="32"/>
          <w:szCs w:val="32"/>
        </w:rPr>
        <w:lastRenderedPageBreak/>
        <w:t>有利于</w:t>
      </w:r>
      <w:r>
        <w:rPr>
          <w:rFonts w:ascii="仿宋_GB2312" w:eastAsia="仿宋_GB2312" w:hint="eastAsia"/>
          <w:sz w:val="32"/>
          <w:szCs w:val="32"/>
        </w:rPr>
        <w:t>各网络交易平台</w:t>
      </w:r>
      <w:r w:rsidR="00756898">
        <w:rPr>
          <w:rFonts w:ascii="仿宋_GB2312" w:eastAsia="仿宋_GB2312" w:hint="eastAsia"/>
          <w:sz w:val="32"/>
          <w:szCs w:val="32"/>
        </w:rPr>
        <w:t>违法失信经营者信息</w:t>
      </w:r>
      <w:r>
        <w:rPr>
          <w:rFonts w:ascii="仿宋_GB2312" w:eastAsia="仿宋_GB2312" w:hint="eastAsia"/>
          <w:sz w:val="32"/>
          <w:szCs w:val="32"/>
        </w:rPr>
        <w:t>互通共享，促进实现惩戒效果</w:t>
      </w:r>
      <w:r w:rsidR="00756898">
        <w:rPr>
          <w:rFonts w:ascii="仿宋_GB2312" w:eastAsia="仿宋_GB2312" w:hint="eastAsia"/>
          <w:sz w:val="32"/>
          <w:szCs w:val="32"/>
        </w:rPr>
        <w:t>广泛</w:t>
      </w:r>
      <w:r>
        <w:rPr>
          <w:rFonts w:ascii="仿宋_GB2312" w:eastAsia="仿宋_GB2312" w:hint="eastAsia"/>
          <w:sz w:val="32"/>
          <w:szCs w:val="32"/>
        </w:rPr>
        <w:t>覆盖。</w:t>
      </w:r>
    </w:p>
    <w:p w:rsidR="00F309A1" w:rsidRDefault="008839CD">
      <w:pPr>
        <w:spacing w:line="578" w:lineRule="exact"/>
        <w:ind w:firstLineChars="200" w:firstLine="640"/>
        <w:rPr>
          <w:rFonts w:ascii="仿宋_GB2312" w:eastAsia="仿宋_GB2312"/>
          <w:sz w:val="32"/>
          <w:szCs w:val="32"/>
        </w:rPr>
      </w:pPr>
      <w:r>
        <w:rPr>
          <w:rFonts w:ascii="仿宋_GB2312" w:eastAsia="仿宋_GB2312" w:hint="eastAsia"/>
          <w:sz w:val="32"/>
          <w:szCs w:val="32"/>
        </w:rPr>
        <w:t>特此说明。</w:t>
      </w:r>
    </w:p>
    <w:p w:rsidR="00F309A1" w:rsidRDefault="008839CD">
      <w:pPr>
        <w:spacing w:line="578" w:lineRule="exact"/>
        <w:rPr>
          <w:rFonts w:eastAsia="仿宋_GB2312"/>
          <w:sz w:val="32"/>
          <w:szCs w:val="32"/>
        </w:rPr>
      </w:pPr>
      <w:r>
        <w:rPr>
          <w:rFonts w:eastAsia="仿宋_GB2312"/>
          <w:sz w:val="32"/>
          <w:szCs w:val="32"/>
        </w:rPr>
        <w:t xml:space="preserve">                                   </w:t>
      </w:r>
    </w:p>
    <w:sectPr w:rsidR="00F309A1" w:rsidSect="00F309A1">
      <w:headerReference w:type="default" r:id="rId8"/>
      <w:footerReference w:type="default" r:id="rId9"/>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47" w:rsidRDefault="00234847" w:rsidP="00F309A1">
      <w:r>
        <w:separator/>
      </w:r>
    </w:p>
  </w:endnote>
  <w:endnote w:type="continuationSeparator" w:id="1">
    <w:p w:rsidR="00234847" w:rsidRDefault="00234847" w:rsidP="00F30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A1" w:rsidRDefault="00697E8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309A1" w:rsidRDefault="00697E8D">
                <w:pPr>
                  <w:snapToGrid w:val="0"/>
                  <w:rPr>
                    <w:sz w:val="18"/>
                    <w:szCs w:val="18"/>
                  </w:rPr>
                </w:pPr>
                <w:r w:rsidRPr="00697E8D">
                  <w:fldChar w:fldCharType="begin"/>
                </w:r>
                <w:r w:rsidR="008839CD">
                  <w:instrText xml:space="preserve"> PAGE  \* MERGEFORMAT </w:instrText>
                </w:r>
                <w:r w:rsidRPr="00697E8D">
                  <w:fldChar w:fldCharType="separate"/>
                </w:r>
                <w:r w:rsidR="0007548A" w:rsidRPr="0007548A">
                  <w:rPr>
                    <w:noProof/>
                    <w:sz w:val="18"/>
                    <w:szCs w:val="18"/>
                  </w:rPr>
                  <w:t>2</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47" w:rsidRDefault="00234847" w:rsidP="00F309A1">
      <w:r>
        <w:separator/>
      </w:r>
    </w:p>
  </w:footnote>
  <w:footnote w:type="continuationSeparator" w:id="1">
    <w:p w:rsidR="00234847" w:rsidRDefault="00234847" w:rsidP="00F3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A1" w:rsidRDefault="00F309A1">
    <w:pPr>
      <w:pStyle w:val="a5"/>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46EA7CB3"/>
    <w:rsid w:val="000030D3"/>
    <w:rsid w:val="00004287"/>
    <w:rsid w:val="00014728"/>
    <w:rsid w:val="0001686F"/>
    <w:rsid w:val="0002579E"/>
    <w:rsid w:val="00047CD1"/>
    <w:rsid w:val="00052BFD"/>
    <w:rsid w:val="000736CF"/>
    <w:rsid w:val="00075479"/>
    <w:rsid w:val="0007548A"/>
    <w:rsid w:val="00077444"/>
    <w:rsid w:val="00080923"/>
    <w:rsid w:val="0008574F"/>
    <w:rsid w:val="00087DB4"/>
    <w:rsid w:val="000B1496"/>
    <w:rsid w:val="000C3D90"/>
    <w:rsid w:val="000C7C62"/>
    <w:rsid w:val="000D1764"/>
    <w:rsid w:val="000F37BA"/>
    <w:rsid w:val="00103AF8"/>
    <w:rsid w:val="001274D7"/>
    <w:rsid w:val="001277FB"/>
    <w:rsid w:val="0013251B"/>
    <w:rsid w:val="0013324B"/>
    <w:rsid w:val="00143D5A"/>
    <w:rsid w:val="00145BC3"/>
    <w:rsid w:val="0015494E"/>
    <w:rsid w:val="00183BAC"/>
    <w:rsid w:val="001A17BE"/>
    <w:rsid w:val="001A27CF"/>
    <w:rsid w:val="001A5276"/>
    <w:rsid w:val="001C7675"/>
    <w:rsid w:val="00234847"/>
    <w:rsid w:val="0024071A"/>
    <w:rsid w:val="002459FF"/>
    <w:rsid w:val="00246B5D"/>
    <w:rsid w:val="0025275C"/>
    <w:rsid w:val="00254F02"/>
    <w:rsid w:val="00260E36"/>
    <w:rsid w:val="00281115"/>
    <w:rsid w:val="002A5994"/>
    <w:rsid w:val="002C4EA7"/>
    <w:rsid w:val="002C7350"/>
    <w:rsid w:val="002D0D65"/>
    <w:rsid w:val="002D12E0"/>
    <w:rsid w:val="002D16DC"/>
    <w:rsid w:val="002D1787"/>
    <w:rsid w:val="002E3194"/>
    <w:rsid w:val="002E768A"/>
    <w:rsid w:val="002F5661"/>
    <w:rsid w:val="00304892"/>
    <w:rsid w:val="003174BB"/>
    <w:rsid w:val="00317A75"/>
    <w:rsid w:val="003247AC"/>
    <w:rsid w:val="00337381"/>
    <w:rsid w:val="003506D7"/>
    <w:rsid w:val="00350BD1"/>
    <w:rsid w:val="00351296"/>
    <w:rsid w:val="00357585"/>
    <w:rsid w:val="00361623"/>
    <w:rsid w:val="003751D4"/>
    <w:rsid w:val="00375782"/>
    <w:rsid w:val="00392350"/>
    <w:rsid w:val="00397877"/>
    <w:rsid w:val="003B5834"/>
    <w:rsid w:val="003C38C4"/>
    <w:rsid w:val="003C484A"/>
    <w:rsid w:val="003D0535"/>
    <w:rsid w:val="004159AD"/>
    <w:rsid w:val="00424C7E"/>
    <w:rsid w:val="00433435"/>
    <w:rsid w:val="004335A4"/>
    <w:rsid w:val="00463A6C"/>
    <w:rsid w:val="00470648"/>
    <w:rsid w:val="00476349"/>
    <w:rsid w:val="004808E4"/>
    <w:rsid w:val="004845E6"/>
    <w:rsid w:val="004B0974"/>
    <w:rsid w:val="004C1BEE"/>
    <w:rsid w:val="004F42DD"/>
    <w:rsid w:val="00502FCF"/>
    <w:rsid w:val="00504BEC"/>
    <w:rsid w:val="00534475"/>
    <w:rsid w:val="00537D23"/>
    <w:rsid w:val="005959A6"/>
    <w:rsid w:val="005A7CFE"/>
    <w:rsid w:val="005B6C6E"/>
    <w:rsid w:val="005D08AA"/>
    <w:rsid w:val="005D7661"/>
    <w:rsid w:val="005F096E"/>
    <w:rsid w:val="00624929"/>
    <w:rsid w:val="00631609"/>
    <w:rsid w:val="00646E1C"/>
    <w:rsid w:val="00647C9F"/>
    <w:rsid w:val="006621D3"/>
    <w:rsid w:val="0066406C"/>
    <w:rsid w:val="00674285"/>
    <w:rsid w:val="00674526"/>
    <w:rsid w:val="006912A7"/>
    <w:rsid w:val="00697E8D"/>
    <w:rsid w:val="006D50CA"/>
    <w:rsid w:val="0073550B"/>
    <w:rsid w:val="00744754"/>
    <w:rsid w:val="00756898"/>
    <w:rsid w:val="00762908"/>
    <w:rsid w:val="00772BF6"/>
    <w:rsid w:val="00785F3F"/>
    <w:rsid w:val="00790DF3"/>
    <w:rsid w:val="007911C9"/>
    <w:rsid w:val="007957B1"/>
    <w:rsid w:val="0079644B"/>
    <w:rsid w:val="007C0467"/>
    <w:rsid w:val="007E104E"/>
    <w:rsid w:val="007E7408"/>
    <w:rsid w:val="007F3572"/>
    <w:rsid w:val="007F5840"/>
    <w:rsid w:val="008138F3"/>
    <w:rsid w:val="008174E8"/>
    <w:rsid w:val="008240CD"/>
    <w:rsid w:val="0082745B"/>
    <w:rsid w:val="00852AE1"/>
    <w:rsid w:val="0086004F"/>
    <w:rsid w:val="008746FB"/>
    <w:rsid w:val="008839CD"/>
    <w:rsid w:val="00885535"/>
    <w:rsid w:val="008A013D"/>
    <w:rsid w:val="008A3547"/>
    <w:rsid w:val="008B2403"/>
    <w:rsid w:val="008B70C5"/>
    <w:rsid w:val="008D4B83"/>
    <w:rsid w:val="00903F11"/>
    <w:rsid w:val="009132EA"/>
    <w:rsid w:val="009166D2"/>
    <w:rsid w:val="009242B1"/>
    <w:rsid w:val="00946784"/>
    <w:rsid w:val="00952B27"/>
    <w:rsid w:val="009762DF"/>
    <w:rsid w:val="00981E2E"/>
    <w:rsid w:val="009853CB"/>
    <w:rsid w:val="0099634D"/>
    <w:rsid w:val="009A4E20"/>
    <w:rsid w:val="009B52D4"/>
    <w:rsid w:val="009B609E"/>
    <w:rsid w:val="009C2204"/>
    <w:rsid w:val="009D4C0A"/>
    <w:rsid w:val="009D5BEB"/>
    <w:rsid w:val="00A012A5"/>
    <w:rsid w:val="00A01FA9"/>
    <w:rsid w:val="00A16363"/>
    <w:rsid w:val="00A33852"/>
    <w:rsid w:val="00A33D2F"/>
    <w:rsid w:val="00A53027"/>
    <w:rsid w:val="00A56142"/>
    <w:rsid w:val="00A74404"/>
    <w:rsid w:val="00A8319B"/>
    <w:rsid w:val="00A854BA"/>
    <w:rsid w:val="00A95BC5"/>
    <w:rsid w:val="00AB3613"/>
    <w:rsid w:val="00AC1C14"/>
    <w:rsid w:val="00AD6D64"/>
    <w:rsid w:val="00AF4060"/>
    <w:rsid w:val="00AF5322"/>
    <w:rsid w:val="00B12B9C"/>
    <w:rsid w:val="00B52254"/>
    <w:rsid w:val="00B57928"/>
    <w:rsid w:val="00B605C5"/>
    <w:rsid w:val="00B81E72"/>
    <w:rsid w:val="00B86BC1"/>
    <w:rsid w:val="00BA398A"/>
    <w:rsid w:val="00BA5152"/>
    <w:rsid w:val="00BB692F"/>
    <w:rsid w:val="00BC6E8A"/>
    <w:rsid w:val="00BD6992"/>
    <w:rsid w:val="00BE6B87"/>
    <w:rsid w:val="00C04123"/>
    <w:rsid w:val="00C41E17"/>
    <w:rsid w:val="00C41F8C"/>
    <w:rsid w:val="00C60B4C"/>
    <w:rsid w:val="00C765BC"/>
    <w:rsid w:val="00C77D8C"/>
    <w:rsid w:val="00C842BF"/>
    <w:rsid w:val="00CA3C32"/>
    <w:rsid w:val="00CA54C2"/>
    <w:rsid w:val="00CC5464"/>
    <w:rsid w:val="00CC5AF2"/>
    <w:rsid w:val="00CE29E9"/>
    <w:rsid w:val="00D24BA5"/>
    <w:rsid w:val="00D51CB2"/>
    <w:rsid w:val="00D71895"/>
    <w:rsid w:val="00D929CD"/>
    <w:rsid w:val="00DA20AF"/>
    <w:rsid w:val="00DA6BCD"/>
    <w:rsid w:val="00DB06DD"/>
    <w:rsid w:val="00DC1751"/>
    <w:rsid w:val="00DC62D6"/>
    <w:rsid w:val="00DD40DE"/>
    <w:rsid w:val="00DE4699"/>
    <w:rsid w:val="00DF3A2E"/>
    <w:rsid w:val="00DF3DBB"/>
    <w:rsid w:val="00DF4F26"/>
    <w:rsid w:val="00E0586A"/>
    <w:rsid w:val="00E144A2"/>
    <w:rsid w:val="00E37103"/>
    <w:rsid w:val="00E66832"/>
    <w:rsid w:val="00E71DB6"/>
    <w:rsid w:val="00E7285C"/>
    <w:rsid w:val="00E73622"/>
    <w:rsid w:val="00E738AE"/>
    <w:rsid w:val="00E82430"/>
    <w:rsid w:val="00EA1DDE"/>
    <w:rsid w:val="00EA2428"/>
    <w:rsid w:val="00EB6E0B"/>
    <w:rsid w:val="00ED0695"/>
    <w:rsid w:val="00EE6E03"/>
    <w:rsid w:val="00F10AE2"/>
    <w:rsid w:val="00F309A1"/>
    <w:rsid w:val="00F5247A"/>
    <w:rsid w:val="00F55D6C"/>
    <w:rsid w:val="00F642BA"/>
    <w:rsid w:val="00FA7A59"/>
    <w:rsid w:val="00FD17A2"/>
    <w:rsid w:val="01582BC2"/>
    <w:rsid w:val="02A8700E"/>
    <w:rsid w:val="054B3DBD"/>
    <w:rsid w:val="08354784"/>
    <w:rsid w:val="09221753"/>
    <w:rsid w:val="0EBE68BC"/>
    <w:rsid w:val="1570396C"/>
    <w:rsid w:val="168C360A"/>
    <w:rsid w:val="18633210"/>
    <w:rsid w:val="1F95669F"/>
    <w:rsid w:val="25B96C70"/>
    <w:rsid w:val="2DC72229"/>
    <w:rsid w:val="2F8D6311"/>
    <w:rsid w:val="34344A31"/>
    <w:rsid w:val="359336F3"/>
    <w:rsid w:val="3AFD31D5"/>
    <w:rsid w:val="3EA6146F"/>
    <w:rsid w:val="3F7C0E49"/>
    <w:rsid w:val="3FA7770F"/>
    <w:rsid w:val="41227F15"/>
    <w:rsid w:val="4494483F"/>
    <w:rsid w:val="44E20593"/>
    <w:rsid w:val="46EA7CB3"/>
    <w:rsid w:val="474307F8"/>
    <w:rsid w:val="4C880C47"/>
    <w:rsid w:val="4ED65279"/>
    <w:rsid w:val="55D50D9D"/>
    <w:rsid w:val="575A092C"/>
    <w:rsid w:val="5C61531C"/>
    <w:rsid w:val="62467FCB"/>
    <w:rsid w:val="625414DF"/>
    <w:rsid w:val="639C1BB0"/>
    <w:rsid w:val="63EE3C65"/>
    <w:rsid w:val="643F6283"/>
    <w:rsid w:val="66A178F0"/>
    <w:rsid w:val="6C340216"/>
    <w:rsid w:val="6C562949"/>
    <w:rsid w:val="6D1E2392"/>
    <w:rsid w:val="76293CB0"/>
    <w:rsid w:val="775F23E8"/>
    <w:rsid w:val="7C214BB4"/>
    <w:rsid w:val="7D26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309A1"/>
    <w:rPr>
      <w:sz w:val="18"/>
      <w:szCs w:val="18"/>
    </w:rPr>
  </w:style>
  <w:style w:type="paragraph" w:styleId="a4">
    <w:name w:val="footer"/>
    <w:basedOn w:val="a"/>
    <w:link w:val="Char0"/>
    <w:uiPriority w:val="99"/>
    <w:qFormat/>
    <w:rsid w:val="00F309A1"/>
    <w:pPr>
      <w:tabs>
        <w:tab w:val="center" w:pos="4153"/>
        <w:tab w:val="right" w:pos="8306"/>
      </w:tabs>
      <w:snapToGrid w:val="0"/>
      <w:jc w:val="left"/>
    </w:pPr>
    <w:rPr>
      <w:sz w:val="18"/>
      <w:szCs w:val="18"/>
    </w:rPr>
  </w:style>
  <w:style w:type="paragraph" w:styleId="a5">
    <w:name w:val="header"/>
    <w:basedOn w:val="a"/>
    <w:link w:val="Char1"/>
    <w:uiPriority w:val="99"/>
    <w:qFormat/>
    <w:rsid w:val="00F309A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page number"/>
    <w:basedOn w:val="a0"/>
    <w:uiPriority w:val="99"/>
    <w:rsid w:val="00F309A1"/>
  </w:style>
  <w:style w:type="character" w:customStyle="1" w:styleId="Char1">
    <w:name w:val="页眉 Char"/>
    <w:basedOn w:val="a0"/>
    <w:link w:val="a5"/>
    <w:uiPriority w:val="99"/>
    <w:semiHidden/>
    <w:qFormat/>
    <w:locked/>
    <w:rsid w:val="00F309A1"/>
    <w:rPr>
      <w:sz w:val="18"/>
      <w:szCs w:val="18"/>
    </w:rPr>
  </w:style>
  <w:style w:type="character" w:customStyle="1" w:styleId="Char0">
    <w:name w:val="页脚 Char"/>
    <w:basedOn w:val="a0"/>
    <w:link w:val="a4"/>
    <w:uiPriority w:val="99"/>
    <w:semiHidden/>
    <w:qFormat/>
    <w:locked/>
    <w:rsid w:val="00F309A1"/>
    <w:rPr>
      <w:sz w:val="18"/>
      <w:szCs w:val="18"/>
    </w:rPr>
  </w:style>
  <w:style w:type="character" w:customStyle="1" w:styleId="Char">
    <w:name w:val="批注框文本 Char"/>
    <w:basedOn w:val="a0"/>
    <w:link w:val="a3"/>
    <w:uiPriority w:val="99"/>
    <w:semiHidden/>
    <w:qFormat/>
    <w:locked/>
    <w:rsid w:val="00F309A1"/>
    <w:rPr>
      <w:kern w:val="2"/>
      <w:sz w:val="18"/>
      <w:szCs w:val="18"/>
    </w:rPr>
  </w:style>
  <w:style w:type="character" w:styleId="a7">
    <w:name w:val="annotation reference"/>
    <w:basedOn w:val="a0"/>
    <w:uiPriority w:val="99"/>
    <w:semiHidden/>
    <w:unhideWhenUsed/>
    <w:rsid w:val="000C3D90"/>
    <w:rPr>
      <w:sz w:val="21"/>
      <w:szCs w:val="21"/>
    </w:rPr>
  </w:style>
  <w:style w:type="paragraph" w:styleId="a8">
    <w:name w:val="annotation text"/>
    <w:basedOn w:val="a"/>
    <w:link w:val="Char2"/>
    <w:uiPriority w:val="99"/>
    <w:semiHidden/>
    <w:unhideWhenUsed/>
    <w:rsid w:val="000C3D90"/>
    <w:pPr>
      <w:jc w:val="left"/>
    </w:pPr>
  </w:style>
  <w:style w:type="character" w:customStyle="1" w:styleId="Char2">
    <w:name w:val="批注文字 Char"/>
    <w:basedOn w:val="a0"/>
    <w:link w:val="a8"/>
    <w:uiPriority w:val="99"/>
    <w:semiHidden/>
    <w:rsid w:val="000C3D90"/>
    <w:rPr>
      <w:kern w:val="2"/>
      <w:sz w:val="21"/>
      <w:szCs w:val="21"/>
    </w:rPr>
  </w:style>
  <w:style w:type="paragraph" w:styleId="a9">
    <w:name w:val="annotation subject"/>
    <w:basedOn w:val="a8"/>
    <w:next w:val="a8"/>
    <w:link w:val="Char3"/>
    <w:uiPriority w:val="99"/>
    <w:semiHidden/>
    <w:unhideWhenUsed/>
    <w:rsid w:val="000C3D90"/>
    <w:rPr>
      <w:b/>
      <w:bCs/>
    </w:rPr>
  </w:style>
  <w:style w:type="character" w:customStyle="1" w:styleId="Char3">
    <w:name w:val="批注主题 Char"/>
    <w:basedOn w:val="Char2"/>
    <w:link w:val="a9"/>
    <w:uiPriority w:val="99"/>
    <w:semiHidden/>
    <w:rsid w:val="000C3D9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50A9241-C040-40C3-80B1-F509D91349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404</Words>
  <Characters>2307</Characters>
  <Application>Microsoft Office Word</Application>
  <DocSecurity>0</DocSecurity>
  <Lines>19</Lines>
  <Paragraphs>5</Paragraphs>
  <ScaleCrop>false</ScaleCrop>
  <Company>微软中国</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《网络交易市场主体违法失信惩戒暂行办法》的立规说明</dc:title>
  <dc:creator>mxm</dc:creator>
  <cp:lastModifiedBy>董广谦</cp:lastModifiedBy>
  <cp:revision>163</cp:revision>
  <cp:lastPrinted>2017-11-09T07:19:00Z</cp:lastPrinted>
  <dcterms:created xsi:type="dcterms:W3CDTF">2016-08-15T08:51:00Z</dcterms:created>
  <dcterms:modified xsi:type="dcterms:W3CDTF">2017-11-13T07:27:00Z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