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"/>
        <w:jc w:val="center"/>
        <w:rPr>
          <w:rFonts w:ascii="微软雅黑" w:eastAsia="微软雅黑"/>
        </w:rPr>
      </w:pPr>
      <w:bookmarkStart w:id="0" w:name="_Toc475534958"/>
      <w:bookmarkStart w:id="1" w:name="_Toc475535201"/>
      <w:bookmarkStart w:id="2" w:name="_Toc475535465"/>
      <w:r>
        <w:rPr>
          <w:rFonts w:ascii="微软雅黑" w:eastAsia="微软雅黑" w:hint="eastAsia"/>
        </w:rPr>
        <w:t>智能编码操作说明</w:t>
      </w:r>
      <w:bookmarkStart w:id="3" w:name="_Toc458104489"/>
      <w:bookmarkEnd w:id="0"/>
      <w:bookmarkEnd w:id="1"/>
      <w:bookmarkEnd w:id="2"/>
    </w:p>
    <w:p>
      <w:pPr>
        <w:pStyle w:val="15"/>
        <w:numPr>
          <w:ilvl w:val="0"/>
          <w:numId w:val="1"/>
        </w:numPr>
        <w:ind w:firstLineChars="0"/>
        <w:outlineLvl w:val="0"/>
        <w:rPr>
          <w:rFonts w:ascii="微软雅黑" w:eastAsia="微软雅黑"/>
          <w:b/>
          <w:sz w:val="24"/>
        </w:rPr>
      </w:pPr>
      <w:r>
        <w:rPr>
          <w:rFonts w:ascii="微软雅黑" w:eastAsia="微软雅黑"/>
          <w:b/>
          <w:sz w:val="24"/>
        </w:rPr>
        <w:t>登录开票软件</w:t>
      </w:r>
    </w:p>
    <w:p>
      <w:pPr>
        <w:rPr>
          <w:rStyle w:val="0"/>
          <w:rFonts w:ascii="微软雅黑" w:eastAsia="微软雅黑"/>
          <w:b/>
          <w:sz w:val="24"/>
        </w:rPr>
      </w:pPr>
      <w:r>
        <w:rPr>
          <w:rStyle w:val="0"/>
          <w:rFonts w:ascii="微软雅黑" w:eastAsia="微软雅黑"/>
          <w:b/>
          <w:sz w:val="24"/>
        </w:rPr>
        <w:t>1).点击桌面开票软件图标,如下图:</w:t>
      </w:r>
    </w:p>
    <w:p>
      <w:pPr>
        <w:pStyle w:val="15"/>
        <w:ind w:leftChars="0" w:left="0" w:firstLineChars="0" w:firstLine="0"/>
        <w:jc w:val="center"/>
        <w:outlineLvl w:val="0"/>
        <w:rPr>
          <w:rFonts w:ascii="微软雅黑" w:eastAsia="微软雅黑"/>
          <w:b/>
          <w:sz w:val="24"/>
        </w:rPr>
      </w:pPr>
      <w:bookmarkEnd w:id="3"/>
      <w:r>
        <w:rPr>
          <w:rFonts w:ascii="微软雅黑" w:eastAsia="微软雅黑"/>
          <w:b/>
          <w:sz w:val="24"/>
        </w:rPr>
        <w:drawing>
          <wp:inline distT="0" distB="0" distL="85723" distR="85723">
            <wp:extent cx="1066783" cy="1181082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783" cy="1181082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Chars="0" w:left="0" w:firstLineChars="0" w:firstLine="0"/>
        <w:jc w:val="left"/>
        <w:outlineLvl w:val="0"/>
        <w:rPr>
          <w:rFonts w:ascii="微软雅黑" w:eastAsia="微软雅黑"/>
          <w:b/>
          <w:sz w:val="24"/>
        </w:rPr>
      </w:pPr>
      <w:r>
        <w:rPr>
          <w:rFonts w:ascii="微软雅黑" w:eastAsia="微软雅黑"/>
          <w:b/>
          <w:sz w:val="24"/>
        </w:rPr>
        <w:t>2)弹出财税平台界面，点击开票软件，如下图：</w:t>
      </w:r>
    </w:p>
    <w:p>
      <w:pPr>
        <w:pStyle w:val="15"/>
        <w:ind w:leftChars="0" w:left="0" w:firstLineChars="0" w:firstLine="0"/>
        <w:jc w:val="center"/>
        <w:outlineLvl w:val="0"/>
        <w:rPr>
          <w:rFonts w:ascii="微软雅黑" w:eastAsia="微软雅黑"/>
          <w:b/>
          <w:sz w:val="24"/>
        </w:rPr>
      </w:pPr>
      <w:r>
        <w:rPr>
          <w:rFonts w:ascii="微软雅黑" w:eastAsia="微软雅黑"/>
          <w:b/>
          <w:sz w:val="24"/>
        </w:rPr>
        <w:drawing>
          <wp:inline distT="0" distB="0" distL="85723" distR="85723">
            <wp:extent cx="2415206" cy="4379869"/>
            <wp:effectExtent l="0" t="0" r="0" b="0"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15206" cy="437986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Chars="0" w:left="0" w:firstLineChars="0" w:firstLine="0"/>
        <w:jc w:val="left"/>
        <w:outlineLvl w:val="0"/>
        <w:rPr>
          <w:rFonts w:ascii="微软雅黑" w:eastAsia="微软雅黑"/>
          <w:b/>
          <w:sz w:val="24"/>
        </w:rPr>
      </w:pPr>
      <w:r>
        <w:rPr>
          <w:rFonts w:ascii="微软雅黑" w:eastAsia="微软雅黑"/>
          <w:b/>
          <w:sz w:val="24"/>
        </w:rPr>
        <w:t>3）登录开票软件，如下图：</w:t>
      </w:r>
      <w:bookmarkStart w:id="4" w:name="_GoBack"/>
      <w:bookmarkEnd w:id="4"/>
    </w:p>
    <w:p>
      <w:pPr>
        <w:jc w:val="center"/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85723" distR="85723">
            <wp:extent cx="4124924" cy="3106531"/>
            <wp:effectExtent l="0" t="0" r="0" b="0"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24924" cy="310653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Chars="0" w:firstLine="0"/>
        <w:outlineLvl w:val="0"/>
        <w:rPr>
          <w:rFonts w:ascii="微软雅黑" w:eastAsia="微软雅黑"/>
          <w:b/>
          <w:sz w:val="24"/>
        </w:rPr>
      </w:pPr>
      <w:r>
        <w:rPr>
          <w:rFonts w:ascii="微软雅黑" w:eastAsia="微软雅黑"/>
          <w:b/>
          <w:sz w:val="24"/>
        </w:rPr>
        <w:t>2.点击下图界面</w:t>
      </w:r>
      <w:r>
        <w:rPr>
          <w:rFonts w:ascii="微软雅黑" w:eastAsia="微软雅黑" w:hint="eastAsia"/>
          <w:b/>
          <w:sz w:val="24"/>
        </w:rPr>
        <w:t>“</w:t>
      </w:r>
      <w:r>
        <w:rPr>
          <w:rFonts w:ascii="微软雅黑" w:eastAsia="微软雅黑"/>
          <w:b/>
          <w:sz w:val="24"/>
        </w:rPr>
        <w:t>智能编码</w:t>
      </w:r>
      <w:r>
        <w:rPr>
          <w:rFonts w:ascii="微软雅黑" w:eastAsia="微软雅黑" w:hint="eastAsia"/>
          <w:b/>
          <w:sz w:val="24"/>
        </w:rPr>
        <w:t>”</w:t>
      </w:r>
      <w:r>
        <w:rPr>
          <w:rFonts w:ascii="微软雅黑" w:eastAsia="微软雅黑"/>
          <w:b/>
          <w:sz w:val="24"/>
        </w:rPr>
        <w:t>：</w:t>
      </w:r>
    </w:p>
    <w:p>
      <w:pPr>
        <w:jc w:val="center"/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85723" distR="85723">
            <wp:extent cx="5153025" cy="3367227"/>
            <wp:effectExtent l="0" t="0" r="0" b="0"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53025" cy="336722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Chars="0" w:firstLine="0"/>
        <w:outlineLvl w:val="0"/>
        <w:rPr>
          <w:rFonts w:ascii="微软雅黑" w:eastAsia="微软雅黑"/>
          <w:b/>
          <w:sz w:val="24"/>
        </w:rPr>
      </w:pPr>
      <w:r>
        <w:rPr>
          <w:rFonts w:ascii="微软雅黑" w:eastAsia="微软雅黑" w:hint="eastAsia"/>
          <w:b/>
          <w:sz w:val="24"/>
        </w:rPr>
        <w:t>进入</w:t>
      </w:r>
      <w:r>
        <w:rPr>
          <w:rFonts w:ascii="微软雅黑" w:eastAsia="微软雅黑"/>
          <w:b/>
          <w:sz w:val="24"/>
        </w:rPr>
        <w:t>智能编码</w:t>
      </w:r>
      <w:r>
        <w:rPr>
          <w:rFonts w:ascii="微软雅黑" w:eastAsia="微软雅黑" w:hint="eastAsia"/>
          <w:b/>
          <w:sz w:val="24"/>
        </w:rPr>
        <w:t>页面</w:t>
      </w:r>
      <w:r>
        <w:rPr>
          <w:rFonts w:ascii="微软雅黑" w:eastAsia="微软雅黑"/>
          <w:b/>
          <w:sz w:val="24"/>
        </w:rPr>
        <w:t>，</w:t>
      </w:r>
      <w:r>
        <w:rPr>
          <w:rFonts w:ascii="微软雅黑" w:eastAsia="微软雅黑" w:hint="eastAsia"/>
          <w:b/>
          <w:sz w:val="24"/>
        </w:rPr>
        <w:t>如下图</w:t>
      </w:r>
      <w:r>
        <w:rPr>
          <w:rFonts w:ascii="微软雅黑" w:eastAsia="微软雅黑"/>
          <w:b/>
          <w:sz w:val="24"/>
        </w:rPr>
        <w:t>：</w:t>
      </w:r>
    </w:p>
    <w:p>
      <w:pPr>
        <w:jc w:val="center"/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85723" distR="85723">
            <wp:extent cx="5219700" cy="2103400"/>
            <wp:effectExtent l="0" t="0" r="0" b="0"/>
            <wp:docPr id="13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9700" cy="210340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Chars="0" w:firstLine="0"/>
        <w:outlineLvl w:val="0"/>
        <w:rPr>
          <w:rFonts w:ascii="微软雅黑" w:eastAsia="微软雅黑" w:hint="eastAsia"/>
          <w:b/>
          <w:sz w:val="24"/>
        </w:rPr>
      </w:pPr>
      <w:r>
        <w:rPr>
          <w:rFonts w:ascii="微软雅黑" w:eastAsia="微软雅黑" w:hint="eastAsia"/>
          <w:b/>
          <w:sz w:val="24"/>
        </w:rPr>
        <w:t>点击界面“编码检测”进入页面，提示14条编码需要优化并自动赋码，如下图：</w:t>
      </w:r>
    </w:p>
    <w:p>
      <w:pPr>
        <w:jc w:val="center"/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85723" distR="85723">
            <wp:extent cx="5286375" cy="1865537"/>
            <wp:effectExtent l="0" t="0" r="0" b="0"/>
            <wp:docPr id="16" name="图片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86375" cy="186553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eastAsia="微软雅黑"/>
        </w:rPr>
      </w:pPr>
    </w:p>
    <w:p>
      <w:pPr>
        <w:pStyle w:val="15"/>
        <w:ind w:firstLineChars="0" w:firstLine="0"/>
        <w:rPr>
          <w:rFonts w:ascii="微软雅黑" w:eastAsia="微软雅黑"/>
          <w:sz w:val="22"/>
        </w:rPr>
      </w:pPr>
      <w:bookmarkStart w:id="5" w:name="_Toc474517139"/>
      <w:r>
        <w:rPr>
          <w:rFonts w:ascii="微软雅黑" w:eastAsia="微软雅黑" w:hint="eastAsia"/>
          <w:b/>
          <w:sz w:val="24"/>
        </w:rPr>
        <w:t>编码检测</w:t>
      </w:r>
      <w:bookmarkEnd w:id="5"/>
      <w:r>
        <w:rPr>
          <w:rFonts w:ascii="微软雅黑" w:eastAsia="微软雅黑" w:cs="幼圆" w:hint="eastAsia"/>
          <w:b/>
          <w:sz w:val="24"/>
        </w:rPr>
        <w:t>功能说明：</w:t>
      </w:r>
      <w:r>
        <w:rPr>
          <w:rFonts w:ascii="微软雅黑" w:eastAsia="微软雅黑" w:cs="幼圆" w:hint="eastAsia"/>
        </w:rPr>
        <w:t>点</w:t>
      </w:r>
      <w:r>
        <w:rPr>
          <w:rFonts w:ascii="微软雅黑" w:eastAsia="微软雅黑" w:cs="幼圆"/>
        </w:rPr>
        <w:t>击</w:t>
      </w:r>
      <w:r>
        <w:rPr>
          <w:rFonts w:ascii="微软雅黑" w:eastAsia="微软雅黑" w:cs="幼圆" w:hint="eastAsia"/>
        </w:rPr>
        <w:t>【</w:t>
      </w:r>
      <w:r>
        <w:rPr>
          <w:rFonts w:ascii="微软雅黑" w:eastAsia="微软雅黑" w:cs="幼圆"/>
        </w:rPr>
        <w:t>编码检测</w:t>
      </w:r>
      <w:r>
        <w:rPr>
          <w:rFonts w:ascii="微软雅黑" w:eastAsia="微软雅黑" w:cs="幼圆" w:hint="eastAsia"/>
        </w:rPr>
        <w:t>】，</w:t>
      </w:r>
      <w:r>
        <w:rPr>
          <w:rFonts w:ascii="微软雅黑" w:eastAsia="微软雅黑" w:cs="幼圆"/>
        </w:rPr>
        <w:t>会对</w:t>
      </w:r>
      <w:r>
        <w:rPr>
          <w:rFonts w:ascii="微软雅黑" w:eastAsia="微软雅黑" w:cs="幼圆" w:hint="eastAsia"/>
        </w:rPr>
        <w:t>企业</w:t>
      </w:r>
      <w:r>
        <w:rPr>
          <w:rFonts w:ascii="微软雅黑" w:eastAsia="微软雅黑" w:cs="幼圆"/>
        </w:rPr>
        <w:t>现有商品信息税收分类编码进行一次整理</w:t>
      </w:r>
      <w:r>
        <w:rPr>
          <w:rFonts w:ascii="微软雅黑" w:eastAsia="微软雅黑" w:cs="幼圆" w:hint="eastAsia"/>
        </w:rPr>
        <w:t>。</w:t>
      </w:r>
      <w:r>
        <w:rPr>
          <w:rFonts w:ascii="微软雅黑" w:eastAsia="微软雅黑" w:cs="幼圆"/>
        </w:rPr>
        <w:t>没有税收分类编码的商品将自动推荐相关编码</w:t>
      </w:r>
      <w:r>
        <w:rPr>
          <w:rFonts w:ascii="微软雅黑" w:eastAsia="微软雅黑" w:cs="幼圆" w:hint="eastAsia"/>
        </w:rPr>
        <w:t>。</w:t>
      </w:r>
      <w:r>
        <w:rPr>
          <w:rFonts w:ascii="微软雅黑" w:eastAsia="微软雅黑" w:cs="幼圆"/>
        </w:rPr>
        <w:t>有税收分类编码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将会进行一次编码校验</w:t>
      </w:r>
      <w:r>
        <w:rPr>
          <w:rFonts w:ascii="微软雅黑" w:eastAsia="微软雅黑" w:cs="幼圆" w:hint="eastAsia"/>
        </w:rPr>
        <w:t>，与校验结果有出入的税收分类编码，系统将会标记提示，供使用者参考选择。（</w:t>
      </w:r>
      <w:r>
        <w:rPr>
          <w:rFonts w:ascii="微软雅黑" w:eastAsia="微软雅黑" w:cs="幼圆"/>
        </w:rPr>
        <w:t>匹配度说明</w:t>
      </w:r>
      <w:r>
        <w:rPr>
          <w:rFonts w:ascii="微软雅黑" w:eastAsia="微软雅黑" w:cs="幼圆" w:hint="eastAsia"/>
        </w:rPr>
        <w:t>：</w:t>
      </w:r>
      <w:r>
        <w:rPr>
          <w:rFonts w:ascii="微软雅黑" w:eastAsia="微软雅黑" w:cs="幼圆"/>
        </w:rPr>
        <w:t>匹配度表示智能编码所推荐的税收分类编码的准确程度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匹配度越高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则该编码的可靠性越高</w:t>
      </w:r>
      <w:r>
        <w:rPr>
          <w:rFonts w:ascii="微软雅黑" w:eastAsia="微软雅黑" w:cs="幼圆" w:hint="eastAsia"/>
        </w:rPr>
        <w:t>。）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如下图所示：</w:t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85723" distR="85723">
            <wp:extent cx="5580380" cy="1573168"/>
            <wp:effectExtent l="0" t="0" r="0" b="0"/>
            <wp:docPr id="19" name="图片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0380" cy="157316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点击【编码检测】后：</w:t>
      </w:r>
    </w:p>
    <w:p>
      <w:pPr>
        <w:tabs>
          <w:tab w:val="left" w:pos="8742"/>
        </w:tabs>
        <w:rPr>
          <w:rFonts w:ascii="微软雅黑" w:eastAsia="微软雅黑"/>
          <w:color w:val="000000"/>
          <w:szCs w:val="21"/>
        </w:rPr>
      </w:pPr>
      <w:r>
        <w:rPr>
          <w:rFonts w:ascii="微软雅黑" w:eastAsia="微软雅黑"/>
          <w:color w:val="000000"/>
          <w:szCs w:val="21"/>
        </w:rPr>
        <w:drawing>
          <wp:inline distT="0" distB="0" distL="85723" distR="85723">
            <wp:extent cx="5580380" cy="1555476"/>
            <wp:effectExtent l="0" t="0" r="0" b="0"/>
            <wp:docPr id="22" name="图片 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0380" cy="1555476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点击红色感叹号后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原本的税收分类编码将被矫正为系统推荐结果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并展示相关匹配度信息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drawing>
          <wp:inline distT="0" distB="0" distL="85723" distR="85723">
            <wp:extent cx="5580380" cy="1510446"/>
            <wp:effectExtent l="0" t="0" r="0" b="0"/>
            <wp:docPr id="25" name="图片 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0380" cy="1510446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再次点击红色箭头后，编码将恢复至校正前的税收分类编码。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drawing>
          <wp:inline distT="0" distB="0" distL="85723" distR="85723">
            <wp:extent cx="5580380" cy="1659268"/>
            <wp:effectExtent l="0" t="0" r="0" b="0"/>
            <wp:docPr id="28" name="图片 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0380" cy="165926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将需要改变税收分类编码的商品前打钩，点击保存。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drawing>
          <wp:inline distT="0" distB="0" distL="85723" distR="85723">
            <wp:extent cx="5580380" cy="1931670"/>
            <wp:effectExtent l="0" t="0" r="0" b="0"/>
            <wp:docPr id="31" name="图片 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" name="图片 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0380" cy="193167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保存</w:t>
      </w:r>
      <w:r>
        <w:rPr>
          <w:rFonts w:ascii="微软雅黑" w:eastAsia="微软雅黑" w:cs="幼圆"/>
        </w:rPr>
        <w:t>成功后，</w:t>
      </w:r>
      <w:r>
        <w:rPr>
          <w:rFonts w:ascii="微软雅黑" w:eastAsia="微软雅黑" w:cs="幼圆" w:hint="eastAsia"/>
        </w:rPr>
        <w:t>即完成了此次编码变更。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drawing>
          <wp:inline distT="0" distB="0" distL="85723" distR="85723">
            <wp:extent cx="5580380" cy="1457269"/>
            <wp:effectExtent l="0" t="0" r="0" b="0"/>
            <wp:docPr id="34" name="图片 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图片 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0380" cy="145726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对于匹配度较低的编码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用户可点击税收分类编码</w:t>
      </w:r>
      <w:r>
        <w:rPr>
          <w:rFonts w:ascii="微软雅黑" w:eastAsia="微软雅黑" w:cs="幼圆" w:hint="eastAsia"/>
        </w:rPr>
        <w:t>，系统将自动将相关性较高的编码推荐给客户，供客户自主选择。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37" name="图片 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" name="图片 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301875"/>
            <wp:effectExtent l="0" t="0" r="0" b="0"/>
            <wp:docPr id="40" name="图片 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图片 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30187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双击合适的编码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进行打钩保存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即可完成本次赋码操作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43" name="图片 4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" name="图片 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保存</w:t>
      </w:r>
    </w:p>
    <w:p>
      <w:pPr>
        <w:pStyle w:val="15"/>
        <w:ind w:leftChars="50" w:left="105"/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保存按钮是对当前面数据行为进行确定的唯一入口，未确认保存时，本页面的所有操作行为（删除行为例外）均不会生效。</w:t>
      </w:r>
    </w:p>
    <w:p>
      <w:pPr>
        <w:pStyle w:val="15"/>
        <w:ind w:left="-142" w:firstLineChars="67" w:firstLine="141"/>
        <w:jc w:val="left"/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46" name="图片 4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图片 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Chars="0" w:firstLine="0"/>
        <w:jc w:val="left"/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271074" cy="2053085"/>
            <wp:effectExtent l="0" t="0" r="0" b="0"/>
            <wp:docPr id="49" name="图片 4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" name="图片 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1074" cy="205308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6" w:name="_Toc474517141"/>
    </w:p>
    <w:p>
      <w:pPr>
        <w:pStyle w:val="15"/>
        <w:numPr>
          <w:ilvl w:val="0"/>
          <w:numId w:val="2"/>
        </w:numPr>
        <w:ind w:firstLineChars="0"/>
        <w:jc w:val="left"/>
        <w:rPr>
          <w:rFonts w:ascii="微软雅黑" w:eastAsia="微软雅黑" w:cs="幼圆"/>
        </w:rPr>
      </w:pPr>
      <w:r>
        <w:rPr>
          <w:rFonts w:ascii="微软雅黑" w:eastAsia="微软雅黑" w:hint="eastAsia"/>
        </w:rPr>
        <w:t>删除</w:t>
      </w:r>
      <w:bookmarkEnd w:id="6"/>
    </w:p>
    <w:p>
      <w:pPr>
        <w:ind w:firstLineChars="200" w:firstLine="420"/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对已勾选的商品信息数据进行删除。（注：本操作无需确定保存）</w:t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52" name="图片 5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图片 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点击后，该勾选数据将直接删除。</w:t>
      </w:r>
    </w:p>
    <w:p>
      <w:pPr>
        <w:rPr>
          <w:rFonts w:ascii="微软雅黑" w:eastAsia="微软雅黑"/>
          <w:b/>
          <w:bCs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55" name="图片 5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" name="图片 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7" w:name="_Toc474517142"/>
    </w:p>
    <w:p>
      <w:pPr>
        <w:pStyle w:val="15"/>
        <w:numPr>
          <w:ilvl w:val="0"/>
          <w:numId w:val="2"/>
        </w:numPr>
        <w:ind w:firstLineChars="0"/>
        <w:rPr>
          <w:rFonts w:ascii="微软雅黑" w:eastAsia="微软雅黑" w:cs="幼圆"/>
        </w:rPr>
      </w:pPr>
      <w:r>
        <w:rPr>
          <w:rFonts w:ascii="微软雅黑" w:eastAsia="微软雅黑" w:hint="eastAsia"/>
          <w:bCs/>
        </w:rPr>
        <w:t>批量添加</w:t>
      </w:r>
      <w:bookmarkEnd w:id="7"/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对客户所需的企业商品信息进行手动添加，添加商品后系统将自动推送税收分类编码。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双击</w:t>
      </w:r>
      <w:r>
        <w:rPr>
          <w:rFonts w:ascii="微软雅黑" w:eastAsia="微软雅黑" w:cs="幼圆"/>
        </w:rPr>
        <w:t>击商品名称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输入对应信息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即可获取系统推送的税收分类编码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58" name="图片 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图片 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</w:tabs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61" name="图片 6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" name="图片 6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简码</w:t>
      </w:r>
      <w:r>
        <w:rPr>
          <w:rFonts w:ascii="微软雅黑" w:eastAsia="微软雅黑" w:cs="幼圆" w:hint="eastAsia"/>
        </w:rPr>
        <w:t>、</w:t>
      </w:r>
      <w:r>
        <w:rPr>
          <w:rFonts w:ascii="微软雅黑" w:eastAsia="微软雅黑" w:cs="幼圆"/>
        </w:rPr>
        <w:t>单价</w:t>
      </w:r>
      <w:r>
        <w:rPr>
          <w:rFonts w:ascii="微软雅黑" w:eastAsia="微软雅黑" w:cs="幼圆" w:hint="eastAsia"/>
        </w:rPr>
        <w:t>、</w:t>
      </w:r>
      <w:r>
        <w:rPr>
          <w:rFonts w:ascii="微软雅黑" w:eastAsia="微软雅黑" w:cs="幼圆"/>
        </w:rPr>
        <w:t>规格型号</w:t>
      </w:r>
      <w:r>
        <w:rPr>
          <w:rFonts w:ascii="微软雅黑" w:eastAsia="微软雅黑" w:cs="幼圆" w:hint="eastAsia"/>
        </w:rPr>
        <w:t>、</w:t>
      </w:r>
      <w:r>
        <w:rPr>
          <w:rFonts w:ascii="微软雅黑" w:eastAsia="微软雅黑" w:cs="幼圆"/>
        </w:rPr>
        <w:t>计量单位</w:t>
      </w:r>
      <w:r>
        <w:rPr>
          <w:rFonts w:ascii="微软雅黑" w:eastAsia="微软雅黑" w:cs="幼圆" w:hint="eastAsia"/>
        </w:rPr>
        <w:t>、</w:t>
      </w:r>
      <w:r>
        <w:rPr>
          <w:rFonts w:ascii="微软雅黑" w:eastAsia="微软雅黑" w:cs="幼圆"/>
        </w:rPr>
        <w:t>分类编码</w:t>
      </w:r>
      <w:r>
        <w:rPr>
          <w:rFonts w:ascii="微软雅黑" w:eastAsia="微软雅黑" w:cs="幼圆" w:hint="eastAsia"/>
        </w:rPr>
        <w:t>则由用户自行填写。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若对推送的税收分类编码结果不满意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点击税收分类编码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则可获取对应的相关编码信息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64" name="图片 6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图片 6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301875"/>
            <wp:effectExtent l="0" t="0" r="0" b="0"/>
            <wp:docPr id="67" name="图片 6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" name="图片 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30187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找到合适的编码后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双击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即可录入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70" name="图片 7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图片 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若需删除该行数据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点击红色叉号即可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73" name="图片 7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" name="图片 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/>
        </w:rPr>
        <w:t>录入完数据后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点击保存</w:t>
      </w:r>
      <w:r>
        <w:rPr>
          <w:rFonts w:ascii="微软雅黑" w:eastAsia="微软雅黑" w:cs="幼圆" w:hint="eastAsia"/>
        </w:rPr>
        <w:t>，</w:t>
      </w:r>
      <w:r>
        <w:rPr>
          <w:rFonts w:ascii="微软雅黑" w:eastAsia="微软雅黑" w:cs="幼圆"/>
        </w:rPr>
        <w:t>即可录入至商品信息库</w:t>
      </w:r>
      <w:r>
        <w:rPr>
          <w:rFonts w:ascii="微软雅黑" w:eastAsia="微软雅黑" w:cs="幼圆" w:hint="eastAsia"/>
        </w:rPr>
        <w:t>。</w:t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76" name="图片 7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图片 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8" w:name="_Toc474517143"/>
    </w:p>
    <w:p>
      <w:pPr>
        <w:pStyle w:val="15"/>
        <w:numPr>
          <w:ilvl w:val="0"/>
          <w:numId w:val="2"/>
        </w:numPr>
        <w:ind w:firstLineChars="0"/>
        <w:rPr>
          <w:rFonts w:ascii="微软雅黑" w:eastAsia="微软雅黑" w:cs="幼圆"/>
        </w:rPr>
      </w:pPr>
      <w:r>
        <w:rPr>
          <w:rFonts w:ascii="微软雅黑" w:eastAsia="微软雅黑" w:hint="eastAsia"/>
        </w:rPr>
        <w:t>恢复</w:t>
      </w:r>
      <w:bookmarkEnd w:id="8"/>
    </w:p>
    <w:p>
      <w:pPr>
        <w:rPr>
          <w:rFonts w:ascii="微软雅黑" w:eastAsia="微软雅黑" w:cs="幼圆"/>
        </w:rPr>
      </w:pPr>
      <w:r>
        <w:rPr>
          <w:rFonts w:ascii="微软雅黑" w:eastAsia="微软雅黑" w:hint="eastAsia"/>
        </w:rPr>
        <w:t xml:space="preserve">  </w:t>
      </w:r>
      <w:r>
        <w:rPr>
          <w:rFonts w:ascii="微软雅黑" w:eastAsia="微软雅黑" w:cs="幼圆" w:hint="eastAsia"/>
        </w:rPr>
        <w:t>为防止企业误操作，采取的恢复功能。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 xml:space="preserve">  当企业进行过对应的商品信息变更后，则会对变更前的信息进行一次备份。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 xml:space="preserve">  若发生错误，则根据备份数据的时间，进行数据恢复。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 xml:space="preserve">   </w:t>
      </w: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79" name="图片 7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" name="图片 8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82" name="图片 8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图片 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9" w:name="_Toc474517144"/>
    </w:p>
    <w:p>
      <w:pPr>
        <w:pStyle w:val="15"/>
        <w:numPr>
          <w:ilvl w:val="0"/>
          <w:numId w:val="2"/>
        </w:numPr>
        <w:ind w:firstLineChars="0"/>
        <w:rPr>
          <w:rFonts w:ascii="微软雅黑" w:eastAsia="微软雅黑"/>
        </w:rPr>
      </w:pPr>
      <w:r>
        <w:rPr>
          <w:rFonts w:ascii="微软雅黑" w:eastAsia="微软雅黑" w:hint="eastAsia"/>
        </w:rPr>
        <w:t>查询</w:t>
      </w:r>
      <w:bookmarkEnd w:id="9"/>
    </w:p>
    <w:p>
      <w:pPr>
        <w:rPr>
          <w:rFonts w:ascii="微软雅黑" w:eastAsia="微软雅黑" w:cs="幼圆"/>
        </w:rPr>
      </w:pPr>
      <w:r>
        <w:rPr>
          <w:rFonts w:ascii="微软雅黑" w:eastAsia="微软雅黑" w:cs="幼圆" w:hint="eastAsia"/>
        </w:rPr>
        <w:t>对所需的商品信息进行筛选查询，便于用户对出现问题的税收分类编码进行整理修改。</w:t>
      </w:r>
    </w:p>
    <w:p>
      <w:pPr>
        <w:rPr>
          <w:rFonts w:ascii="微软雅黑" w:eastAsia="微软雅黑" w:cs="幼圆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85" name="图片 8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" name="图片 8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274310" cy="2554605"/>
            <wp:effectExtent l="0" t="0" r="0" b="0"/>
            <wp:docPr id="88" name="图片 8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图片 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546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/>
        </w:rPr>
      </w:pPr>
      <w:r>
        <w:rPr>
          <w:rFonts w:ascii="微软雅黑" w:eastAsia="微软雅黑"/>
        </w:rPr>
        <w:drawing>
          <wp:inline distT="0" distB="0" distL="0" distR="0">
            <wp:extent cx="5597682" cy="2668772"/>
            <wp:effectExtent l="0" t="0" r="0" b="0"/>
            <wp:docPr id="91" name="图片 9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" name="图片 9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97682" cy="2668772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1440" w:left="156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微软雅黑"/>
    <w:panose1 w:val="0201050906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B3A87FFD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EA129B"/>
    <w:multiLevelType w:val="hybridMultilevel"/>
    <w:tmpl w:val="75FCA366"/>
    <w:lvl w:ilvl="0">
      <w:start w:val="1"/>
      <w:numFmt w:val="decimal"/>
      <w:lvlRestart w:val="0"/>
      <w:lvlText w:val="2.4.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firstLineChars="200" w:firstLine="2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列出段落1"/>
    <w:basedOn w:val="0"/>
    <w:pPr>
      <w:ind w:firstLineChars="200" w:firstLine="200"/>
    </w:pPr>
  </w:style>
  <w:style w:type="paragraph" w:customStyle="1" w:styleId="19">
    <w:name w:val="TOC Heading"/>
    <w:basedOn w:val="1"/>
    <w:next w:val="0"/>
    <w:pPr>
      <w:keepNext/>
      <w:keepLines/>
      <w:widowControl/>
      <w:spacing w:before="240" w:after="0" w:line="259" w:lineRule="auto"/>
      <w:jc w:val="left"/>
      <w:outlineLvl w:val="9"/>
    </w:pPr>
    <w:rPr>
      <w:rFonts w:ascii="Calibri Light" w:eastAsia="宋体" w:cs="Times New Roman" w:hAnsi="Calibri Light"/>
      <w:b w:val="0"/>
      <w:bCs w:val="0"/>
      <w:color w:val="2E74B5"/>
      <w:kern w:val="0"/>
      <w:sz w:val="32"/>
      <w:szCs w:val="32"/>
    </w:rPr>
  </w:style>
  <w:style w:type="paragraph" w:styleId="20">
    <w:name w:val="toc 1"/>
    <w:basedOn w:val="0"/>
    <w:autoRedefine/>
    <w:next w:val="0"/>
  </w:style>
  <w:style w:type="paragraph" w:styleId="21">
    <w:name w:val="toc 2"/>
    <w:basedOn w:val="0"/>
    <w:autoRedefine/>
    <w:next w:val="0"/>
    <w:pPr>
      <w:ind w:leftChars="200" w:left="200"/>
    </w:pPr>
  </w:style>
  <w:style w:type="character" w:styleId="22">
    <w:name w:val="Hyperlink"/>
    <w:basedOn w:val="10"/>
    <w:rPr>
      <w:color w:val="0563C1"/>
      <w:u w:val="single"/>
    </w:rPr>
  </w:style>
  <w:style w:type="paragraph" w:styleId="23">
    <w:name w:val="Balloon Text"/>
    <w:basedOn w:val="0"/>
    <w:rPr>
      <w:sz w:val="18"/>
      <w:szCs w:val="18"/>
    </w:rPr>
  </w:style>
  <w:style w:type="paragraph" w:styleId="24">
    <w:name w:val="toc 3"/>
    <w:basedOn w:val="0"/>
    <w:autoRedefine/>
    <w:next w:val="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image" Target="media/8.png"/><Relationship Id="rId5" Type="http://schemas.openxmlformats.org/officeDocument/2006/relationships/image" Target="media/11.png"/><Relationship Id="rId6" Type="http://schemas.openxmlformats.org/officeDocument/2006/relationships/image" Target="media/14.png"/><Relationship Id="rId7" Type="http://schemas.openxmlformats.org/officeDocument/2006/relationships/image" Target="media/17.png"/><Relationship Id="rId8" Type="http://schemas.openxmlformats.org/officeDocument/2006/relationships/image" Target="media/20.png"/><Relationship Id="rId9" Type="http://schemas.openxmlformats.org/officeDocument/2006/relationships/image" Target="media/23.png"/><Relationship Id="rId10" Type="http://schemas.openxmlformats.org/officeDocument/2006/relationships/image" Target="media/26.png"/><Relationship Id="rId11" Type="http://schemas.openxmlformats.org/officeDocument/2006/relationships/image" Target="media/29.png"/><Relationship Id="rId12" Type="http://schemas.openxmlformats.org/officeDocument/2006/relationships/image" Target="media/32.png"/><Relationship Id="rId13" Type="http://schemas.openxmlformats.org/officeDocument/2006/relationships/image" Target="media/35.png"/><Relationship Id="rId14" Type="http://schemas.openxmlformats.org/officeDocument/2006/relationships/image" Target="media/38.png"/><Relationship Id="rId15" Type="http://schemas.openxmlformats.org/officeDocument/2006/relationships/image" Target="media/41.png"/><Relationship Id="rId16" Type="http://schemas.openxmlformats.org/officeDocument/2006/relationships/image" Target="media/44.png"/><Relationship Id="rId17" Type="http://schemas.openxmlformats.org/officeDocument/2006/relationships/image" Target="media/47.png"/><Relationship Id="rId18" Type="http://schemas.openxmlformats.org/officeDocument/2006/relationships/image" Target="media/50.png"/><Relationship Id="rId19" Type="http://schemas.openxmlformats.org/officeDocument/2006/relationships/image" Target="media/53.png"/><Relationship Id="rId20" Type="http://schemas.openxmlformats.org/officeDocument/2006/relationships/image" Target="media/56.png"/><Relationship Id="rId21" Type="http://schemas.openxmlformats.org/officeDocument/2006/relationships/image" Target="media/59.png"/><Relationship Id="rId22" Type="http://schemas.openxmlformats.org/officeDocument/2006/relationships/image" Target="media/62.png"/><Relationship Id="rId23" Type="http://schemas.openxmlformats.org/officeDocument/2006/relationships/image" Target="media/65.png"/><Relationship Id="rId24" Type="http://schemas.openxmlformats.org/officeDocument/2006/relationships/image" Target="media/68.png"/><Relationship Id="rId25" Type="http://schemas.openxmlformats.org/officeDocument/2006/relationships/image" Target="media/71.png"/><Relationship Id="rId26" Type="http://schemas.openxmlformats.org/officeDocument/2006/relationships/image" Target="media/74.png"/><Relationship Id="rId27" Type="http://schemas.openxmlformats.org/officeDocument/2006/relationships/image" Target="media/77.png"/><Relationship Id="rId28" Type="http://schemas.openxmlformats.org/officeDocument/2006/relationships/image" Target="media/80.png"/><Relationship Id="rId29" Type="http://schemas.openxmlformats.org/officeDocument/2006/relationships/image" Target="media/83.png"/><Relationship Id="rId30" Type="http://schemas.openxmlformats.org/officeDocument/2006/relationships/image" Target="media/86.png"/><Relationship Id="rId31" Type="http://schemas.openxmlformats.org/officeDocument/2006/relationships/image" Target="media/89.png"/><Relationship Id="rId32" Type="http://schemas.openxmlformats.org/officeDocument/2006/relationships/image" Target="media/92.png"/><Relationship Id="rId33" Type="http://schemas.openxmlformats.org/officeDocument/2006/relationships/styles" Target="styles.xml"/><Relationship Id="rId34" Type="http://schemas.openxmlformats.org/officeDocument/2006/relationships/numbering" Target="numbering.xml"/><Relationship Id="rId3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734</TotalTime>
  <Application>Yozo_Office</Application>
  <Pages>12</Pages>
  <Words>916</Words>
  <Characters>942</Characters>
  <Lines>74</Lines>
  <Paragraphs>36</Paragraphs>
  <CharactersWithSpaces>957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WJ</dc:creator>
  <cp:lastModifiedBy>AutoBVT</cp:lastModifiedBy>
  <cp:revision>1553</cp:revision>
  <dcterms:created xsi:type="dcterms:W3CDTF">2016-06-06T00:45:00Z</dcterms:created>
  <dcterms:modified xsi:type="dcterms:W3CDTF">2017-11-03T09:13:10Z</dcterms:modified>
</cp:coreProperties>
</file>