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AD" w:rsidRPr="004335A3" w:rsidRDefault="002756AD" w:rsidP="002756AD">
      <w:pPr>
        <w:pStyle w:val="2"/>
        <w:numPr>
          <w:ilvl w:val="1"/>
          <w:numId w:val="0"/>
        </w:numPr>
        <w:spacing w:before="0" w:after="0" w:line="240" w:lineRule="auto"/>
        <w:rPr>
          <w:rFonts w:ascii="仿宋_GB2312" w:eastAsia="仿宋_GB2312" w:hAnsi="仿宋" w:cs="仿宋_GB2312" w:hint="eastAsia"/>
          <w:sz w:val="32"/>
          <w:szCs w:val="32"/>
        </w:rPr>
      </w:pPr>
      <w:bookmarkStart w:id="0" w:name="_Toc443925495"/>
      <w:bookmarkStart w:id="1" w:name="_Toc456192904"/>
      <w:bookmarkStart w:id="2" w:name="_Toc466845567"/>
      <w:r w:rsidRPr="004335A3">
        <w:rPr>
          <w:rFonts w:ascii="仿宋_GB2312" w:eastAsia="仿宋_GB2312" w:hAnsi="仿宋" w:cs="仿宋_GB2312" w:hint="eastAsia"/>
          <w:sz w:val="32"/>
          <w:szCs w:val="32"/>
        </w:rPr>
        <w:t>附件1</w:t>
      </w:r>
    </w:p>
    <w:p w:rsidR="002756AD" w:rsidRPr="004335A3" w:rsidRDefault="002756AD" w:rsidP="002756AD">
      <w:pPr>
        <w:jc w:val="center"/>
        <w:rPr>
          <w:rFonts w:ascii="华文中宋" w:eastAsia="华文中宋" w:hAnsi="华文中宋"/>
          <w:sz w:val="32"/>
          <w:szCs w:val="32"/>
        </w:rPr>
      </w:pPr>
    </w:p>
    <w:p w:rsidR="002756AD" w:rsidRDefault="002756AD" w:rsidP="002756AD">
      <w:pPr>
        <w:jc w:val="center"/>
        <w:rPr>
          <w:rFonts w:ascii="华文中宋" w:eastAsia="华文中宋" w:hAnsi="华文中宋"/>
          <w:sz w:val="44"/>
          <w:szCs w:val="44"/>
        </w:rPr>
      </w:pPr>
      <w:r w:rsidRPr="004335A3">
        <w:rPr>
          <w:rFonts w:ascii="华文中宋" w:eastAsia="华文中宋" w:hAnsi="华文中宋" w:hint="eastAsia"/>
          <w:sz w:val="44"/>
          <w:szCs w:val="44"/>
        </w:rPr>
        <w:t>政府非税收入执收项目识别码规范</w:t>
      </w:r>
    </w:p>
    <w:p w:rsidR="004335A3" w:rsidRPr="004335A3" w:rsidRDefault="004335A3" w:rsidP="002756AD">
      <w:pPr>
        <w:jc w:val="center"/>
        <w:rPr>
          <w:rFonts w:ascii="华文中宋" w:eastAsia="华文中宋" w:hAnsi="华文中宋"/>
          <w:sz w:val="44"/>
          <w:szCs w:val="44"/>
        </w:rPr>
      </w:pPr>
    </w:p>
    <w:bookmarkEnd w:id="0"/>
    <w:bookmarkEnd w:id="1"/>
    <w:bookmarkEnd w:id="2"/>
    <w:p w:rsidR="002756AD" w:rsidRPr="004335A3" w:rsidRDefault="004335A3" w:rsidP="002756AD">
      <w:pPr>
        <w:pStyle w:val="2"/>
        <w:numPr>
          <w:ilvl w:val="1"/>
          <w:numId w:val="0"/>
        </w:numPr>
        <w:spacing w:before="0" w:after="0" w:line="240" w:lineRule="auto"/>
        <w:rPr>
          <w:rFonts w:ascii="黑体" w:hAnsi="黑体" w:cs="Times New Roman"/>
          <w:sz w:val="32"/>
          <w:szCs w:val="32"/>
        </w:rPr>
      </w:pPr>
      <w:r w:rsidRPr="004335A3">
        <w:rPr>
          <w:rFonts w:ascii="黑体" w:hAnsi="黑体" w:cs="仿宋_GB2312" w:hint="eastAsia"/>
          <w:sz w:val="32"/>
          <w:szCs w:val="32"/>
        </w:rPr>
        <w:t xml:space="preserve">    一、</w:t>
      </w:r>
      <w:r w:rsidR="002756AD" w:rsidRPr="004335A3">
        <w:rPr>
          <w:rFonts w:ascii="黑体" w:hAnsi="黑体" w:cs="仿宋_GB2312" w:hint="eastAsia"/>
          <w:sz w:val="32"/>
          <w:szCs w:val="32"/>
        </w:rPr>
        <w:t>概述</w:t>
      </w:r>
    </w:p>
    <w:p w:rsidR="002756AD" w:rsidRPr="004335A3" w:rsidRDefault="002756AD" w:rsidP="004335A3">
      <w:pPr>
        <w:ind w:firstLineChars="200" w:firstLine="640"/>
        <w:rPr>
          <w:rFonts w:ascii="仿宋_GB2312" w:eastAsia="仿宋_GB2312" w:hAnsi="Arial" w:cs="仿宋_GB2312"/>
          <w:sz w:val="32"/>
          <w:szCs w:val="32"/>
        </w:rPr>
      </w:pPr>
      <w:r w:rsidRPr="004335A3">
        <w:rPr>
          <w:rFonts w:ascii="仿宋_GB2312" w:eastAsia="仿宋_GB2312" w:hAnsi="Arial" w:cs="仿宋_GB2312" w:hint="eastAsia"/>
          <w:sz w:val="32"/>
          <w:szCs w:val="32"/>
        </w:rPr>
        <w:t>政府非税收入执收项目识别码（以下简称执收项目识别码）是政府非税收入收缴管理中对执收项目的全国统一电子标签，是财政信息化标准规范体系的重要内容，为实现执收项目的收入自动化分成、规范化管理和智能化分析奠定基础。</w:t>
      </w:r>
      <w:r w:rsidR="005D77CA">
        <w:rPr>
          <w:rFonts w:ascii="仿宋_GB2312" w:eastAsia="仿宋_GB2312" w:cs="仿宋_GB2312" w:hint="eastAsia"/>
          <w:kern w:val="0"/>
          <w:sz w:val="32"/>
          <w:szCs w:val="32"/>
        </w:rPr>
        <w:t>为</w:t>
      </w:r>
      <w:r w:rsidRPr="004335A3">
        <w:rPr>
          <w:rFonts w:ascii="仿宋_GB2312" w:eastAsia="仿宋_GB2312" w:cs="仿宋_GB2312" w:hint="eastAsia"/>
          <w:kern w:val="0"/>
          <w:sz w:val="32"/>
          <w:szCs w:val="32"/>
        </w:rPr>
        <w:t>各级财政部门执行不同编码体系的执收项目打上全国统一电子标签，在不影响</w:t>
      </w:r>
      <w:r w:rsidRPr="004335A3">
        <w:rPr>
          <w:rFonts w:ascii="仿宋_GB2312" w:eastAsia="仿宋_GB2312" w:hAnsi="仿宋" w:cs="仿宋_GB2312" w:hint="eastAsia"/>
          <w:sz w:val="32"/>
          <w:szCs w:val="32"/>
        </w:rPr>
        <w:t>原有执收项目使用管理的基础上，又能通过标准化手段实现</w:t>
      </w:r>
      <w:r w:rsidR="005D77CA">
        <w:rPr>
          <w:rFonts w:ascii="仿宋_GB2312" w:eastAsia="仿宋_GB2312" w:hAnsi="仿宋" w:cs="仿宋_GB2312" w:hint="eastAsia"/>
          <w:sz w:val="32"/>
          <w:szCs w:val="32"/>
        </w:rPr>
        <w:t>各级</w:t>
      </w:r>
      <w:r w:rsidRPr="004335A3">
        <w:rPr>
          <w:rFonts w:ascii="仿宋_GB2312" w:eastAsia="仿宋_GB2312" w:hAnsi="仿宋" w:cs="仿宋_GB2312" w:hint="eastAsia"/>
          <w:sz w:val="32"/>
          <w:szCs w:val="32"/>
        </w:rPr>
        <w:t>财政</w:t>
      </w:r>
      <w:r w:rsidR="005D77CA">
        <w:rPr>
          <w:rFonts w:ascii="仿宋_GB2312" w:eastAsia="仿宋_GB2312" w:hAnsi="仿宋" w:cs="仿宋_GB2312" w:hint="eastAsia"/>
          <w:sz w:val="32"/>
          <w:szCs w:val="32"/>
        </w:rPr>
        <w:t>部门</w:t>
      </w:r>
      <w:r w:rsidRPr="004335A3">
        <w:rPr>
          <w:rFonts w:ascii="仿宋_GB2312" w:eastAsia="仿宋_GB2312" w:hAnsi="仿宋" w:cs="仿宋_GB2312" w:hint="eastAsia"/>
          <w:sz w:val="32"/>
          <w:szCs w:val="32"/>
        </w:rPr>
        <w:t>对非税收入执收项目的统筹管理</w:t>
      </w:r>
      <w:r w:rsidRPr="004335A3">
        <w:rPr>
          <w:rFonts w:ascii="仿宋_GB2312" w:eastAsia="仿宋_GB2312" w:cs="仿宋_GB2312" w:hint="eastAsia"/>
          <w:kern w:val="0"/>
          <w:sz w:val="32"/>
          <w:szCs w:val="32"/>
        </w:rPr>
        <w:t>。</w:t>
      </w:r>
      <w:r w:rsidR="008B5E6D">
        <w:rPr>
          <w:rFonts w:ascii="仿宋_GB2312" w:eastAsia="仿宋_GB2312" w:hAnsi="Arial" w:cs="仿宋_GB2312" w:hint="eastAsia"/>
          <w:sz w:val="32"/>
          <w:szCs w:val="32"/>
        </w:rPr>
        <w:t>地方各级</w:t>
      </w:r>
      <w:r w:rsidRPr="004335A3">
        <w:rPr>
          <w:rFonts w:ascii="仿宋_GB2312" w:eastAsia="仿宋_GB2312" w:hAnsi="Arial" w:cs="仿宋_GB2312" w:hint="eastAsia"/>
          <w:sz w:val="32"/>
          <w:szCs w:val="32"/>
        </w:rPr>
        <w:t>财政部门仅需建立执收项目识别码与地方执收项目编码的对照关系，并在《非税收入一般缴款书》中增加执收项目识别码，不影响原有项目库的使用。</w:t>
      </w:r>
    </w:p>
    <w:p w:rsidR="002756AD" w:rsidRPr="004335A3" w:rsidRDefault="004335A3" w:rsidP="002756AD">
      <w:pPr>
        <w:pStyle w:val="2"/>
        <w:numPr>
          <w:ilvl w:val="1"/>
          <w:numId w:val="0"/>
        </w:numPr>
        <w:spacing w:before="0" w:after="0" w:line="240" w:lineRule="auto"/>
        <w:rPr>
          <w:rFonts w:ascii="黑体" w:hAnsi="黑体" w:cs="仿宋_GB2312"/>
          <w:sz w:val="32"/>
          <w:szCs w:val="32"/>
        </w:rPr>
      </w:pPr>
      <w:r>
        <w:rPr>
          <w:rFonts w:ascii="黑体" w:hAnsi="黑体" w:cs="仿宋_GB2312" w:hint="eastAsia"/>
          <w:sz w:val="32"/>
          <w:szCs w:val="32"/>
        </w:rPr>
        <w:t xml:space="preserve">    二、</w:t>
      </w:r>
      <w:r w:rsidR="002756AD" w:rsidRPr="004335A3">
        <w:rPr>
          <w:rFonts w:ascii="黑体" w:hAnsi="黑体" w:cs="仿宋_GB2312" w:hint="eastAsia"/>
          <w:sz w:val="32"/>
          <w:szCs w:val="32"/>
        </w:rPr>
        <w:t>编制规则</w:t>
      </w:r>
    </w:p>
    <w:p w:rsidR="002756AD" w:rsidRPr="004335A3" w:rsidRDefault="004335A3" w:rsidP="004335A3">
      <w:pPr>
        <w:rPr>
          <w:rFonts w:ascii="仿宋_GB2312" w:eastAsia="仿宋_GB2312" w:hAnsi="仿宋" w:cs="Times New Roman" w:hint="eastAsia"/>
          <w:sz w:val="32"/>
          <w:szCs w:val="32"/>
        </w:rPr>
      </w:pPr>
      <w:r>
        <w:rPr>
          <w:rFonts w:ascii="仿宋_GB2312" w:eastAsia="仿宋_GB2312" w:hAnsi="Arial" w:cs="仿宋_GB2312" w:hint="eastAsia"/>
          <w:sz w:val="32"/>
          <w:szCs w:val="32"/>
        </w:rPr>
        <w:t xml:space="preserve">    </w:t>
      </w:r>
      <w:r w:rsidR="002756AD" w:rsidRPr="004335A3">
        <w:rPr>
          <w:rFonts w:ascii="仿宋_GB2312" w:eastAsia="仿宋_GB2312" w:hAnsi="Arial" w:cs="仿宋_GB2312" w:hint="eastAsia"/>
          <w:sz w:val="32"/>
          <w:szCs w:val="32"/>
        </w:rPr>
        <w:t>执收</w:t>
      </w:r>
      <w:r w:rsidR="002756AD" w:rsidRPr="004335A3">
        <w:rPr>
          <w:rFonts w:ascii="仿宋_GB2312" w:eastAsia="仿宋_GB2312" w:hAnsi="仿宋" w:cs="仿宋_GB2312" w:hint="eastAsia"/>
          <w:sz w:val="32"/>
          <w:szCs w:val="32"/>
        </w:rPr>
        <w:t>项目识别码设计为</w:t>
      </w:r>
      <w:r w:rsidR="002756AD" w:rsidRPr="004335A3">
        <w:rPr>
          <w:rFonts w:ascii="仿宋_GB2312" w:eastAsia="仿宋_GB2312" w:hAnsi="仿宋" w:cs="仿宋_GB2312"/>
          <w:sz w:val="32"/>
          <w:szCs w:val="32"/>
        </w:rPr>
        <w:t>12</w:t>
      </w:r>
      <w:r w:rsidR="002756AD" w:rsidRPr="004335A3">
        <w:rPr>
          <w:rFonts w:ascii="仿宋_GB2312" w:eastAsia="仿宋_GB2312" w:hAnsi="仿宋" w:cs="仿宋_GB2312" w:hint="eastAsia"/>
          <w:sz w:val="32"/>
          <w:szCs w:val="32"/>
        </w:rPr>
        <w:t>位，由行政区划码、顺序码两部分组成。</w:t>
      </w:r>
      <w:r w:rsidR="002756AD" w:rsidRPr="004335A3">
        <w:rPr>
          <w:rFonts w:ascii="仿宋_GB2312" w:eastAsia="仿宋_GB2312" w:hAnsi="Arial" w:cs="仿宋_GB2312" w:hint="eastAsia"/>
          <w:sz w:val="32"/>
          <w:szCs w:val="32"/>
        </w:rPr>
        <w:t>执收</w:t>
      </w:r>
      <w:r w:rsidR="002756AD" w:rsidRPr="004335A3">
        <w:rPr>
          <w:rFonts w:ascii="仿宋_GB2312" w:eastAsia="仿宋_GB2312" w:hAnsi="仿宋" w:cs="仿宋_GB2312" w:hint="eastAsia"/>
          <w:sz w:val="32"/>
          <w:szCs w:val="32"/>
        </w:rPr>
        <w:t>项目识别码实行统一管理，所有非税收入执收项目由财政部负责统一赋码</w:t>
      </w:r>
      <w:r w:rsidR="002756AD" w:rsidRPr="004335A3">
        <w:rPr>
          <w:rFonts w:ascii="仿宋_GB2312" w:eastAsia="仿宋_GB2312" w:hAnsi="仿宋" w:cs="仿宋_GB2312"/>
          <w:sz w:val="32"/>
          <w:szCs w:val="32"/>
        </w:rPr>
        <w:t>,</w:t>
      </w:r>
      <w:r w:rsidR="002756AD" w:rsidRPr="004335A3">
        <w:rPr>
          <w:rFonts w:ascii="仿宋_GB2312" w:eastAsia="仿宋_GB2312" w:hAnsi="仿宋" w:cs="仿宋_GB2312" w:hint="eastAsia"/>
          <w:sz w:val="32"/>
          <w:szCs w:val="32"/>
        </w:rPr>
        <w:t>省级财政部门通过财政部建立的全国统一</w:t>
      </w:r>
      <w:r w:rsidR="002756AD" w:rsidRPr="004335A3">
        <w:rPr>
          <w:rFonts w:ascii="仿宋_GB2312" w:eastAsia="仿宋_GB2312" w:hAnsi="Arial" w:cs="仿宋_GB2312" w:hint="eastAsia"/>
          <w:sz w:val="32"/>
          <w:szCs w:val="32"/>
        </w:rPr>
        <w:t>执收</w:t>
      </w:r>
      <w:r w:rsidR="002756AD" w:rsidRPr="004335A3">
        <w:rPr>
          <w:rFonts w:ascii="仿宋_GB2312" w:eastAsia="仿宋_GB2312" w:hAnsi="仿宋" w:cs="仿宋_GB2312" w:hint="eastAsia"/>
          <w:sz w:val="32"/>
          <w:szCs w:val="32"/>
        </w:rPr>
        <w:t>项目库专用平台获取。</w:t>
      </w:r>
    </w:p>
    <w:p w:rsidR="002756AD" w:rsidRPr="007C138D" w:rsidRDefault="002756AD" w:rsidP="002756AD">
      <w:pPr>
        <w:ind w:firstLine="420"/>
        <w:rPr>
          <w:rFonts w:ascii="仿宋_GB2312" w:eastAsia="仿宋_GB2312" w:hAnsi="仿宋" w:cs="Times New Roman"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3"/>
        <w:gridCol w:w="567"/>
        <w:gridCol w:w="567"/>
        <w:gridCol w:w="567"/>
        <w:gridCol w:w="567"/>
        <w:gridCol w:w="567"/>
        <w:gridCol w:w="567"/>
        <w:gridCol w:w="567"/>
        <w:gridCol w:w="567"/>
        <w:gridCol w:w="567"/>
        <w:gridCol w:w="567"/>
        <w:gridCol w:w="567"/>
        <w:gridCol w:w="567"/>
      </w:tblGrid>
      <w:tr w:rsidR="002756AD" w:rsidRPr="007C138D" w:rsidTr="004335A3">
        <w:trPr>
          <w:trHeight w:val="832"/>
          <w:jc w:val="center"/>
        </w:trPr>
        <w:tc>
          <w:tcPr>
            <w:tcW w:w="1163" w:type="dxa"/>
            <w:vAlign w:val="center"/>
          </w:tcPr>
          <w:p w:rsidR="002756AD" w:rsidRPr="007C138D" w:rsidRDefault="002756AD" w:rsidP="004335A3">
            <w:pPr>
              <w:jc w:val="center"/>
              <w:rPr>
                <w:rFonts w:ascii="宋体" w:cs="宋体"/>
                <w:sz w:val="24"/>
                <w:szCs w:val="24"/>
              </w:rPr>
            </w:pPr>
            <w:r w:rsidRPr="007C138D">
              <w:rPr>
                <w:rFonts w:ascii="宋体" w:hAnsi="宋体" w:cs="宋体" w:hint="eastAsia"/>
                <w:sz w:val="24"/>
                <w:szCs w:val="24"/>
              </w:rPr>
              <w:lastRenderedPageBreak/>
              <w:t>代码</w:t>
            </w:r>
          </w:p>
          <w:p w:rsidR="002756AD" w:rsidRPr="007C138D" w:rsidRDefault="002756AD" w:rsidP="004335A3">
            <w:pPr>
              <w:jc w:val="center"/>
              <w:rPr>
                <w:rFonts w:ascii="宋体" w:cs="宋体"/>
                <w:sz w:val="24"/>
                <w:szCs w:val="24"/>
              </w:rPr>
            </w:pPr>
            <w:r w:rsidRPr="007C138D">
              <w:rPr>
                <w:rFonts w:ascii="宋体" w:hAnsi="宋体" w:cs="宋体" w:hint="eastAsia"/>
                <w:sz w:val="24"/>
                <w:szCs w:val="24"/>
              </w:rPr>
              <w:t>序号</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1</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2</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3</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4</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5</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6</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7</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8</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9</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10</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11</w:t>
            </w:r>
          </w:p>
        </w:tc>
        <w:tc>
          <w:tcPr>
            <w:tcW w:w="567" w:type="dxa"/>
            <w:vAlign w:val="center"/>
          </w:tcPr>
          <w:p w:rsidR="002756AD" w:rsidRPr="007C138D" w:rsidRDefault="002756AD" w:rsidP="004335A3">
            <w:pPr>
              <w:jc w:val="center"/>
              <w:rPr>
                <w:rFonts w:ascii="宋体" w:hAnsi="宋体" w:cs="宋体"/>
                <w:sz w:val="24"/>
                <w:szCs w:val="24"/>
              </w:rPr>
            </w:pPr>
            <w:r w:rsidRPr="007C138D">
              <w:rPr>
                <w:rFonts w:ascii="宋体" w:hAnsi="宋体" w:cs="宋体"/>
                <w:sz w:val="24"/>
                <w:szCs w:val="24"/>
              </w:rPr>
              <w:t>12</w:t>
            </w:r>
          </w:p>
        </w:tc>
      </w:tr>
      <w:tr w:rsidR="002756AD" w:rsidRPr="007C138D" w:rsidTr="004335A3">
        <w:trPr>
          <w:trHeight w:val="1235"/>
          <w:jc w:val="center"/>
        </w:trPr>
        <w:tc>
          <w:tcPr>
            <w:tcW w:w="1163" w:type="dxa"/>
            <w:vAlign w:val="center"/>
          </w:tcPr>
          <w:p w:rsidR="002756AD" w:rsidRPr="007C138D" w:rsidRDefault="002756AD" w:rsidP="004335A3">
            <w:pPr>
              <w:jc w:val="center"/>
              <w:rPr>
                <w:rFonts w:ascii="宋体" w:cs="宋体"/>
                <w:sz w:val="24"/>
                <w:szCs w:val="24"/>
              </w:rPr>
            </w:pPr>
            <w:r w:rsidRPr="007C138D">
              <w:rPr>
                <w:rFonts w:ascii="宋体" w:hAnsi="宋体" w:cs="宋体" w:hint="eastAsia"/>
                <w:sz w:val="24"/>
                <w:szCs w:val="24"/>
              </w:rPr>
              <w:t>说明</w:t>
            </w:r>
          </w:p>
        </w:tc>
        <w:tc>
          <w:tcPr>
            <w:tcW w:w="567" w:type="dxa"/>
            <w:gridSpan w:val="4"/>
            <w:vAlign w:val="center"/>
          </w:tcPr>
          <w:p w:rsidR="002756AD" w:rsidRPr="007C138D" w:rsidRDefault="002756AD" w:rsidP="00954F5E">
            <w:pPr>
              <w:rPr>
                <w:rFonts w:ascii="宋体" w:cs="宋体"/>
                <w:sz w:val="24"/>
                <w:szCs w:val="24"/>
              </w:rPr>
            </w:pPr>
            <w:r w:rsidRPr="007C138D">
              <w:rPr>
                <w:rFonts w:ascii="宋体" w:hAnsi="宋体" w:cs="宋体" w:hint="eastAsia"/>
                <w:sz w:val="24"/>
                <w:szCs w:val="24"/>
              </w:rPr>
              <w:t>行政区划码</w:t>
            </w:r>
          </w:p>
          <w:p w:rsidR="002756AD" w:rsidRPr="007C138D" w:rsidRDefault="002756AD" w:rsidP="00954F5E">
            <w:pPr>
              <w:rPr>
                <w:rFonts w:ascii="宋体" w:cs="宋体"/>
                <w:sz w:val="24"/>
                <w:szCs w:val="24"/>
              </w:rPr>
            </w:pPr>
            <w:r w:rsidRPr="007C138D">
              <w:rPr>
                <w:rFonts w:ascii="宋体" w:hAnsi="宋体" w:cs="宋体"/>
                <w:sz w:val="24"/>
                <w:szCs w:val="24"/>
              </w:rPr>
              <w:t>4</w:t>
            </w:r>
            <w:r w:rsidRPr="007C138D">
              <w:rPr>
                <w:rFonts w:ascii="宋体" w:hAnsi="宋体" w:cs="宋体" w:hint="eastAsia"/>
                <w:sz w:val="24"/>
                <w:szCs w:val="24"/>
              </w:rPr>
              <w:t>位</w:t>
            </w:r>
          </w:p>
        </w:tc>
        <w:tc>
          <w:tcPr>
            <w:tcW w:w="567" w:type="dxa"/>
            <w:gridSpan w:val="8"/>
            <w:vAlign w:val="center"/>
          </w:tcPr>
          <w:p w:rsidR="002756AD" w:rsidRPr="007C138D" w:rsidRDefault="002756AD" w:rsidP="00954F5E">
            <w:pPr>
              <w:rPr>
                <w:rFonts w:ascii="宋体" w:cs="宋体"/>
                <w:sz w:val="24"/>
                <w:szCs w:val="24"/>
              </w:rPr>
            </w:pPr>
            <w:r w:rsidRPr="007C138D">
              <w:rPr>
                <w:rFonts w:ascii="宋体" w:hAnsi="宋体" w:cs="宋体" w:hint="eastAsia"/>
                <w:sz w:val="24"/>
                <w:szCs w:val="24"/>
              </w:rPr>
              <w:t>顺序码</w:t>
            </w:r>
            <w:r w:rsidRPr="007C138D">
              <w:rPr>
                <w:rFonts w:ascii="宋体" w:hAnsi="宋体" w:cs="宋体"/>
                <w:sz w:val="24"/>
                <w:szCs w:val="24"/>
              </w:rPr>
              <w:t>8</w:t>
            </w:r>
            <w:r w:rsidRPr="007C138D">
              <w:rPr>
                <w:rFonts w:ascii="宋体" w:hAnsi="宋体" w:cs="宋体" w:hint="eastAsia"/>
                <w:sz w:val="24"/>
                <w:szCs w:val="24"/>
              </w:rPr>
              <w:t>位</w:t>
            </w:r>
          </w:p>
        </w:tc>
      </w:tr>
    </w:tbl>
    <w:p w:rsidR="002756AD" w:rsidRPr="007C138D" w:rsidRDefault="002756AD" w:rsidP="002756AD">
      <w:pPr>
        <w:rPr>
          <w:rFonts w:ascii="仿宋_GB2312" w:eastAsia="仿宋_GB2312" w:cs="Times New Roman"/>
        </w:rPr>
      </w:pPr>
    </w:p>
    <w:p w:rsidR="002756AD" w:rsidRPr="004335A3" w:rsidRDefault="002756AD" w:rsidP="004335A3">
      <w:pPr>
        <w:ind w:firstLineChars="200" w:firstLine="640"/>
        <w:rPr>
          <w:rFonts w:ascii="仿宋_GB2312" w:eastAsia="仿宋_GB2312" w:hAnsi="仿宋" w:cs="Times New Roman" w:hint="eastAsia"/>
          <w:sz w:val="32"/>
          <w:szCs w:val="32"/>
        </w:rPr>
      </w:pPr>
      <w:r w:rsidRPr="004335A3">
        <w:rPr>
          <w:rFonts w:ascii="仿宋_GB2312" w:eastAsia="仿宋_GB2312" w:hAnsi="仿宋" w:cs="仿宋_GB2312" w:hint="eastAsia"/>
          <w:sz w:val="32"/>
          <w:szCs w:val="32"/>
        </w:rPr>
        <w:t>第一部分（第</w:t>
      </w:r>
      <w:r w:rsidRPr="004335A3">
        <w:rPr>
          <w:rFonts w:ascii="仿宋_GB2312" w:eastAsia="仿宋_GB2312" w:hAnsi="仿宋" w:cs="仿宋_GB2312"/>
          <w:sz w:val="32"/>
          <w:szCs w:val="32"/>
        </w:rPr>
        <w:t>1-4</w:t>
      </w:r>
      <w:r w:rsidRPr="004335A3">
        <w:rPr>
          <w:rFonts w:ascii="仿宋_GB2312" w:eastAsia="仿宋_GB2312" w:hAnsi="仿宋" w:cs="仿宋_GB2312" w:hint="eastAsia"/>
          <w:sz w:val="32"/>
          <w:szCs w:val="32"/>
        </w:rPr>
        <w:t>位）：中央、省级行政区划码。用于反映设立和征收政府非税收入</w:t>
      </w:r>
      <w:r w:rsidRPr="004335A3">
        <w:rPr>
          <w:rFonts w:ascii="仿宋_GB2312" w:eastAsia="仿宋_GB2312" w:hAnsi="Arial" w:cs="仿宋_GB2312" w:hint="eastAsia"/>
          <w:sz w:val="32"/>
          <w:szCs w:val="32"/>
        </w:rPr>
        <w:t>执收</w:t>
      </w:r>
      <w:r w:rsidRPr="004335A3">
        <w:rPr>
          <w:rFonts w:ascii="仿宋_GB2312" w:eastAsia="仿宋_GB2312" w:hAnsi="仿宋" w:cs="仿宋_GB2312" w:hint="eastAsia"/>
          <w:sz w:val="32"/>
          <w:szCs w:val="32"/>
        </w:rPr>
        <w:t>项目的行政区划，原则上遵循国家标准，使用数字表示。例如：全国性及中央项目用</w:t>
      </w:r>
      <w:r w:rsidR="0056467B">
        <w:rPr>
          <w:rFonts w:ascii="仿宋_GB2312" w:eastAsia="仿宋_GB2312" w:hAnsi="仿宋" w:cs="仿宋_GB2312" w:hint="eastAsia"/>
          <w:sz w:val="32"/>
          <w:szCs w:val="32"/>
        </w:rPr>
        <w:t>0</w:t>
      </w:r>
      <w:r w:rsidRPr="004335A3">
        <w:rPr>
          <w:rFonts w:ascii="仿宋_GB2312" w:eastAsia="仿宋_GB2312" w:hAnsi="仿宋" w:cs="仿宋_GB2312"/>
          <w:sz w:val="32"/>
          <w:szCs w:val="32"/>
        </w:rPr>
        <w:t>000</w:t>
      </w:r>
      <w:r w:rsidRPr="004335A3">
        <w:rPr>
          <w:rFonts w:ascii="仿宋_GB2312" w:eastAsia="仿宋_GB2312" w:hAnsi="仿宋" w:cs="仿宋_GB2312" w:hint="eastAsia"/>
          <w:sz w:val="32"/>
          <w:szCs w:val="32"/>
        </w:rPr>
        <w:t>，北京市项目用</w:t>
      </w:r>
      <w:r w:rsidRPr="004335A3">
        <w:rPr>
          <w:rFonts w:ascii="仿宋_GB2312" w:eastAsia="仿宋_GB2312" w:hAnsi="仿宋" w:cs="仿宋_GB2312"/>
          <w:sz w:val="32"/>
          <w:szCs w:val="32"/>
        </w:rPr>
        <w:t>1100</w:t>
      </w:r>
      <w:r w:rsidRPr="004335A3">
        <w:rPr>
          <w:rFonts w:ascii="仿宋_GB2312" w:eastAsia="仿宋_GB2312" w:hAnsi="仿宋" w:cs="仿宋_GB2312" w:hint="eastAsia"/>
          <w:sz w:val="32"/>
          <w:szCs w:val="32"/>
        </w:rPr>
        <w:t>（参照《</w:t>
      </w:r>
      <w:r w:rsidRPr="004335A3">
        <w:rPr>
          <w:rFonts w:ascii="仿宋_GB2312" w:eastAsia="仿宋_GB2312" w:hAnsi="仿宋" w:cs="仿宋_GB2312"/>
          <w:sz w:val="32"/>
          <w:szCs w:val="32"/>
        </w:rPr>
        <w:t>GB/T 2260-2007</w:t>
      </w:r>
      <w:r w:rsidRPr="004335A3">
        <w:rPr>
          <w:rFonts w:ascii="仿宋_GB2312" w:eastAsia="仿宋_GB2312" w:hAnsi="仿宋" w:cs="仿宋_GB2312" w:hint="eastAsia"/>
          <w:sz w:val="32"/>
          <w:szCs w:val="32"/>
        </w:rPr>
        <w:t>中华人民共和国行政区划代码》）。</w:t>
      </w:r>
    </w:p>
    <w:p w:rsidR="002756AD" w:rsidRPr="004335A3" w:rsidRDefault="002756AD" w:rsidP="004335A3">
      <w:pPr>
        <w:ind w:firstLineChars="200" w:firstLine="640"/>
        <w:rPr>
          <w:rFonts w:ascii="仿宋_GB2312" w:eastAsia="仿宋_GB2312" w:hAnsi="仿宋" w:cs="仿宋_GB2312" w:hint="eastAsia"/>
          <w:sz w:val="32"/>
          <w:szCs w:val="32"/>
        </w:rPr>
      </w:pPr>
      <w:r w:rsidRPr="004335A3">
        <w:rPr>
          <w:rFonts w:ascii="仿宋_GB2312" w:eastAsia="仿宋_GB2312" w:hAnsi="仿宋" w:cs="仿宋_GB2312" w:hint="eastAsia"/>
          <w:sz w:val="32"/>
          <w:szCs w:val="32"/>
        </w:rPr>
        <w:t>第二部分（第</w:t>
      </w:r>
      <w:r w:rsidRPr="004335A3">
        <w:rPr>
          <w:rFonts w:ascii="仿宋_GB2312" w:eastAsia="仿宋_GB2312" w:hAnsi="仿宋" w:cs="仿宋_GB2312"/>
          <w:sz w:val="32"/>
          <w:szCs w:val="32"/>
        </w:rPr>
        <w:t>5-12</w:t>
      </w:r>
      <w:r w:rsidRPr="004335A3">
        <w:rPr>
          <w:rFonts w:ascii="仿宋_GB2312" w:eastAsia="仿宋_GB2312" w:hAnsi="仿宋" w:cs="仿宋_GB2312" w:hint="eastAsia"/>
          <w:sz w:val="32"/>
          <w:szCs w:val="32"/>
        </w:rPr>
        <w:t>位）：顺序码。由全国</w:t>
      </w:r>
      <w:r w:rsidRPr="004335A3">
        <w:rPr>
          <w:rFonts w:ascii="仿宋_GB2312" w:eastAsia="仿宋_GB2312" w:hAnsi="Arial" w:cs="仿宋_GB2312" w:hint="eastAsia"/>
          <w:sz w:val="32"/>
          <w:szCs w:val="32"/>
        </w:rPr>
        <w:t>执收</w:t>
      </w:r>
      <w:r w:rsidRPr="004335A3">
        <w:rPr>
          <w:rFonts w:ascii="仿宋_GB2312" w:eastAsia="仿宋_GB2312" w:hAnsi="仿宋" w:cs="仿宋_GB2312" w:hint="eastAsia"/>
          <w:sz w:val="32"/>
          <w:szCs w:val="32"/>
        </w:rPr>
        <w:t>项目库区分行政区划按照政府非税收入</w:t>
      </w:r>
      <w:r w:rsidRPr="004335A3">
        <w:rPr>
          <w:rFonts w:ascii="仿宋_GB2312" w:eastAsia="仿宋_GB2312" w:hAnsi="Arial" w:cs="仿宋_GB2312" w:hint="eastAsia"/>
          <w:sz w:val="32"/>
          <w:szCs w:val="32"/>
        </w:rPr>
        <w:t>执收</w:t>
      </w:r>
      <w:r w:rsidRPr="004335A3">
        <w:rPr>
          <w:rFonts w:ascii="仿宋_GB2312" w:eastAsia="仿宋_GB2312" w:hAnsi="仿宋" w:cs="仿宋_GB2312" w:hint="eastAsia"/>
          <w:sz w:val="32"/>
          <w:szCs w:val="32"/>
        </w:rPr>
        <w:t>项目申请注册顺序自动生成，</w:t>
      </w:r>
      <w:r w:rsidRPr="004335A3">
        <w:rPr>
          <w:rFonts w:ascii="仿宋_GB2312" w:eastAsia="仿宋_GB2312" w:cs="仿宋_GB2312" w:hint="eastAsia"/>
          <w:sz w:val="32"/>
          <w:szCs w:val="32"/>
        </w:rPr>
        <w:t>唯一标识该级行政区划设立和征收的政府非税收入</w:t>
      </w:r>
      <w:r w:rsidRPr="004335A3">
        <w:rPr>
          <w:rFonts w:ascii="仿宋_GB2312" w:eastAsia="仿宋_GB2312" w:hAnsi="Arial" w:cs="仿宋_GB2312" w:hint="eastAsia"/>
          <w:sz w:val="32"/>
          <w:szCs w:val="32"/>
        </w:rPr>
        <w:t>执收</w:t>
      </w:r>
      <w:r w:rsidRPr="004335A3">
        <w:rPr>
          <w:rFonts w:ascii="仿宋_GB2312" w:eastAsia="仿宋_GB2312" w:cs="仿宋_GB2312" w:hint="eastAsia"/>
          <w:sz w:val="32"/>
          <w:szCs w:val="32"/>
        </w:rPr>
        <w:t>项目。</w:t>
      </w:r>
      <w:r w:rsidRPr="004335A3">
        <w:rPr>
          <w:rFonts w:ascii="仿宋_GB2312" w:eastAsia="仿宋_GB2312" w:hAnsi="仿宋" w:cs="仿宋_GB2312" w:hint="eastAsia"/>
          <w:sz w:val="32"/>
          <w:szCs w:val="32"/>
        </w:rPr>
        <w:t>使用数字表示，为顺序码，连续编号。当政府非税收入</w:t>
      </w:r>
      <w:r w:rsidRPr="004335A3">
        <w:rPr>
          <w:rFonts w:ascii="仿宋_GB2312" w:eastAsia="仿宋_GB2312" w:hAnsi="Arial" w:cs="仿宋_GB2312" w:hint="eastAsia"/>
          <w:sz w:val="32"/>
          <w:szCs w:val="32"/>
        </w:rPr>
        <w:t>执收</w:t>
      </w:r>
      <w:r w:rsidRPr="004335A3">
        <w:rPr>
          <w:rFonts w:ascii="仿宋_GB2312" w:eastAsia="仿宋_GB2312" w:hAnsi="仿宋" w:cs="仿宋_GB2312" w:hint="eastAsia"/>
          <w:sz w:val="32"/>
          <w:szCs w:val="32"/>
        </w:rPr>
        <w:t>项目取消或暂停征收时，编码永久保留供历史查询使用。</w:t>
      </w:r>
    </w:p>
    <w:p w:rsidR="002756AD" w:rsidRPr="004335A3" w:rsidRDefault="004335A3" w:rsidP="002756AD">
      <w:pPr>
        <w:pStyle w:val="2"/>
        <w:numPr>
          <w:ilvl w:val="1"/>
          <w:numId w:val="0"/>
        </w:numPr>
        <w:spacing w:before="0" w:after="0" w:line="240" w:lineRule="auto"/>
        <w:rPr>
          <w:rFonts w:ascii="黑体" w:hAnsi="黑体" w:cs="Times New Roman"/>
          <w:sz w:val="32"/>
          <w:szCs w:val="32"/>
        </w:rPr>
      </w:pPr>
      <w:r w:rsidRPr="004335A3">
        <w:rPr>
          <w:rFonts w:ascii="黑体" w:hAnsi="黑体" w:cs="仿宋_GB2312" w:hint="eastAsia"/>
          <w:sz w:val="32"/>
          <w:szCs w:val="32"/>
        </w:rPr>
        <w:t xml:space="preserve">    三、</w:t>
      </w:r>
      <w:r w:rsidR="002756AD" w:rsidRPr="004335A3">
        <w:rPr>
          <w:rFonts w:ascii="黑体" w:hAnsi="黑体" w:cs="仿宋_GB2312" w:hint="eastAsia"/>
          <w:sz w:val="32"/>
          <w:szCs w:val="32"/>
        </w:rPr>
        <w:t>注册程序</w:t>
      </w:r>
    </w:p>
    <w:p w:rsidR="002756AD" w:rsidRPr="004335A3" w:rsidRDefault="002756AD" w:rsidP="004335A3">
      <w:pPr>
        <w:ind w:firstLineChars="200" w:firstLine="640"/>
        <w:rPr>
          <w:rFonts w:ascii="仿宋_GB2312" w:eastAsia="仿宋_GB2312" w:hAnsi="仿宋" w:cs="仿宋_GB2312" w:hint="eastAsia"/>
          <w:sz w:val="32"/>
          <w:szCs w:val="32"/>
        </w:rPr>
      </w:pPr>
      <w:r w:rsidRPr="004335A3">
        <w:rPr>
          <w:rFonts w:ascii="仿宋_GB2312" w:eastAsia="仿宋_GB2312" w:hAnsi="仿宋" w:cs="仿宋_GB2312" w:hint="eastAsia"/>
          <w:sz w:val="32"/>
          <w:szCs w:val="32"/>
        </w:rPr>
        <w:t>地方</w:t>
      </w:r>
      <w:r w:rsidR="008B5E6D">
        <w:rPr>
          <w:rFonts w:ascii="仿宋_GB2312" w:eastAsia="仿宋_GB2312" w:hAnsi="仿宋" w:cs="仿宋_GB2312" w:hint="eastAsia"/>
          <w:sz w:val="32"/>
          <w:szCs w:val="32"/>
        </w:rPr>
        <w:t>各级</w:t>
      </w:r>
      <w:r w:rsidRPr="004335A3">
        <w:rPr>
          <w:rFonts w:ascii="仿宋_GB2312" w:eastAsia="仿宋_GB2312" w:hAnsi="仿宋" w:cs="仿宋_GB2312" w:hint="eastAsia"/>
          <w:sz w:val="32"/>
          <w:szCs w:val="32"/>
        </w:rPr>
        <w:t>财政部门在开展收缴电子化管理工作之前，需预先进行执收项目识别码初始化及注册工作。</w:t>
      </w:r>
    </w:p>
    <w:p w:rsidR="002756AD" w:rsidRPr="004335A3" w:rsidRDefault="002756AD" w:rsidP="002756AD">
      <w:pPr>
        <w:rPr>
          <w:rFonts w:ascii="仿宋_GB2312" w:eastAsia="仿宋_GB2312" w:cs="Times New Roman"/>
          <w:sz w:val="32"/>
          <w:szCs w:val="32"/>
        </w:rPr>
      </w:pPr>
      <w:r w:rsidRPr="004335A3">
        <w:rPr>
          <w:sz w:val="32"/>
          <w:szCs w:val="32"/>
        </w:rPr>
        <w:object w:dxaOrig="9541" w:dyaOrig="4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82.25pt" o:ole="" o:allowoverlap="f">
            <v:imagedata r:id="rId7" o:title=""/>
          </v:shape>
          <o:OLEObject Type="Embed" ProgID="Visio.Drawing.15" ShapeID="_x0000_i1025" DrawAspect="Content" ObjectID="_1546066843" r:id="rId8"/>
        </w:object>
      </w:r>
    </w:p>
    <w:p w:rsidR="002756AD" w:rsidRPr="004335A3" w:rsidRDefault="002756AD" w:rsidP="004335A3">
      <w:pPr>
        <w:pStyle w:val="3"/>
        <w:numPr>
          <w:ilvl w:val="2"/>
          <w:numId w:val="0"/>
        </w:numPr>
        <w:spacing w:before="0" w:after="0" w:line="240" w:lineRule="auto"/>
        <w:ind w:leftChars="284" w:left="721" w:hangingChars="39" w:hanging="125"/>
        <w:rPr>
          <w:rFonts w:ascii="仿宋_GB2312" w:eastAsia="仿宋_GB2312" w:hAnsi="仿宋" w:cs="Times New Roman" w:hint="eastAsia"/>
          <w:sz w:val="32"/>
          <w:szCs w:val="32"/>
        </w:rPr>
      </w:pPr>
      <w:bookmarkStart w:id="3" w:name="_Toc443925451"/>
      <w:bookmarkStart w:id="4" w:name="_Toc462181112"/>
      <w:bookmarkStart w:id="5" w:name="_Toc466845545"/>
      <w:r w:rsidRPr="004335A3">
        <w:rPr>
          <w:rFonts w:ascii="仿宋_GB2312" w:eastAsia="仿宋_GB2312" w:hAnsi="仿宋" w:cs="仿宋_GB2312" w:hint="eastAsia"/>
          <w:sz w:val="32"/>
          <w:szCs w:val="32"/>
        </w:rPr>
        <w:t>流程说明</w:t>
      </w:r>
      <w:bookmarkEnd w:id="3"/>
      <w:bookmarkEnd w:id="4"/>
      <w:bookmarkEnd w:id="5"/>
    </w:p>
    <w:p w:rsidR="002756AD" w:rsidRPr="004335A3" w:rsidRDefault="002756AD" w:rsidP="002756AD">
      <w:pPr>
        <w:ind w:left="-57" w:firstLine="624"/>
        <w:rPr>
          <w:rFonts w:ascii="仿宋_GB2312" w:eastAsia="仿宋_GB2312" w:hAnsi="Arial" w:cs="仿宋_GB2312"/>
          <w:sz w:val="32"/>
          <w:szCs w:val="32"/>
        </w:rPr>
      </w:pPr>
      <w:r w:rsidRPr="004335A3">
        <w:rPr>
          <w:rFonts w:ascii="仿宋_GB2312" w:eastAsia="仿宋_GB2312" w:hAnsi="Arial" w:cs="仿宋_GB2312"/>
          <w:sz w:val="32"/>
          <w:szCs w:val="32"/>
        </w:rPr>
        <w:t>1</w:t>
      </w:r>
      <w:r w:rsidRPr="004335A3">
        <w:rPr>
          <w:rFonts w:ascii="仿宋_GB2312" w:eastAsia="仿宋_GB2312" w:hAnsi="Arial" w:cs="仿宋_GB2312" w:hint="eastAsia"/>
          <w:sz w:val="32"/>
          <w:szCs w:val="32"/>
        </w:rPr>
        <w:t>．地方</w:t>
      </w:r>
      <w:r w:rsidR="008B5E6D">
        <w:rPr>
          <w:rFonts w:ascii="仿宋_GB2312" w:eastAsia="仿宋_GB2312" w:hAnsi="Arial" w:cs="仿宋_GB2312" w:hint="eastAsia"/>
          <w:sz w:val="32"/>
          <w:szCs w:val="32"/>
        </w:rPr>
        <w:t>各级</w:t>
      </w:r>
      <w:r w:rsidRPr="004335A3">
        <w:rPr>
          <w:rFonts w:ascii="仿宋_GB2312" w:eastAsia="仿宋_GB2312" w:hAnsi="Arial" w:cs="仿宋_GB2312" w:hint="eastAsia"/>
          <w:sz w:val="32"/>
          <w:szCs w:val="32"/>
        </w:rPr>
        <w:t>财政部门将地方非税收入执收项目与全国统一执收项目库中的执收项目进行对照，匹配全国统一的执收项目识别码。</w:t>
      </w:r>
    </w:p>
    <w:p w:rsidR="002756AD" w:rsidRPr="004335A3" w:rsidRDefault="002756AD" w:rsidP="002756AD">
      <w:pPr>
        <w:ind w:left="-57" w:firstLine="624"/>
        <w:rPr>
          <w:rFonts w:ascii="仿宋_GB2312" w:eastAsia="仿宋_GB2312" w:hAnsi="Arial" w:cs="Times New Roman"/>
          <w:sz w:val="32"/>
          <w:szCs w:val="32"/>
        </w:rPr>
      </w:pPr>
      <w:r w:rsidRPr="004335A3">
        <w:rPr>
          <w:rFonts w:ascii="仿宋_GB2312" w:eastAsia="仿宋_GB2312" w:hAnsi="Arial" w:cs="仿宋_GB2312" w:hint="eastAsia"/>
          <w:sz w:val="32"/>
          <w:szCs w:val="32"/>
        </w:rPr>
        <w:t>2.地方</w:t>
      </w:r>
      <w:r w:rsidR="008B5E6D">
        <w:rPr>
          <w:rFonts w:ascii="仿宋_GB2312" w:eastAsia="仿宋_GB2312" w:hAnsi="Arial" w:cs="仿宋_GB2312" w:hint="eastAsia"/>
          <w:sz w:val="32"/>
          <w:szCs w:val="32"/>
        </w:rPr>
        <w:t>各级</w:t>
      </w:r>
      <w:r w:rsidRPr="004335A3">
        <w:rPr>
          <w:rFonts w:ascii="仿宋_GB2312" w:eastAsia="仿宋_GB2312" w:hAnsi="Arial" w:cs="仿宋_GB2312" w:hint="eastAsia"/>
          <w:sz w:val="32"/>
          <w:szCs w:val="32"/>
        </w:rPr>
        <w:t>财政</w:t>
      </w:r>
      <w:r w:rsidR="008B5E6D">
        <w:rPr>
          <w:rFonts w:ascii="仿宋_GB2312" w:eastAsia="仿宋_GB2312" w:hAnsi="Arial" w:cs="仿宋_GB2312" w:hint="eastAsia"/>
          <w:sz w:val="32"/>
          <w:szCs w:val="32"/>
        </w:rPr>
        <w:t>部门</w:t>
      </w:r>
      <w:r w:rsidRPr="004335A3">
        <w:rPr>
          <w:rFonts w:ascii="仿宋_GB2312" w:eastAsia="仿宋_GB2312" w:hAnsi="Arial" w:cs="仿宋_GB2312" w:hint="eastAsia"/>
          <w:sz w:val="32"/>
          <w:szCs w:val="32"/>
        </w:rPr>
        <w:t>将匹配成功的执收项目识别码统一维护到地方非税系统中。</w:t>
      </w:r>
    </w:p>
    <w:p w:rsidR="002756AD" w:rsidRPr="004335A3" w:rsidRDefault="002756AD" w:rsidP="002756AD">
      <w:pPr>
        <w:ind w:left="-57" w:firstLine="624"/>
        <w:rPr>
          <w:rFonts w:ascii="仿宋_GB2312" w:eastAsia="仿宋_GB2312" w:hAnsi="Arial" w:cs="Times New Roman"/>
          <w:sz w:val="32"/>
          <w:szCs w:val="32"/>
        </w:rPr>
      </w:pPr>
      <w:r w:rsidRPr="004335A3">
        <w:rPr>
          <w:rFonts w:ascii="仿宋_GB2312" w:eastAsia="仿宋_GB2312" w:hAnsi="Arial" w:cs="仿宋_GB2312" w:hint="eastAsia"/>
          <w:sz w:val="32"/>
          <w:szCs w:val="32"/>
        </w:rPr>
        <w:t>3.</w:t>
      </w:r>
      <w:r w:rsidR="005D77CA">
        <w:rPr>
          <w:rFonts w:ascii="仿宋_GB2312" w:eastAsia="仿宋_GB2312" w:hAnsi="Arial" w:cs="仿宋_GB2312" w:hint="eastAsia"/>
          <w:sz w:val="32"/>
          <w:szCs w:val="32"/>
        </w:rPr>
        <w:t>对于</w:t>
      </w:r>
      <w:r w:rsidRPr="004335A3">
        <w:rPr>
          <w:rFonts w:ascii="仿宋_GB2312" w:eastAsia="仿宋_GB2312" w:hAnsi="Arial" w:cs="仿宋_GB2312" w:hint="eastAsia"/>
          <w:sz w:val="32"/>
          <w:szCs w:val="32"/>
        </w:rPr>
        <w:t>非税系统中匹配</w:t>
      </w:r>
      <w:r w:rsidR="00D82AE7" w:rsidRPr="004335A3">
        <w:rPr>
          <w:rFonts w:ascii="仿宋_GB2312" w:eastAsia="仿宋_GB2312" w:hAnsi="Arial" w:cs="仿宋_GB2312" w:hint="eastAsia"/>
          <w:sz w:val="32"/>
          <w:szCs w:val="32"/>
        </w:rPr>
        <w:t>不成功</w:t>
      </w:r>
      <w:r w:rsidRPr="004335A3">
        <w:rPr>
          <w:rFonts w:ascii="仿宋_GB2312" w:eastAsia="仿宋_GB2312" w:hAnsi="Arial" w:cs="仿宋_GB2312" w:hint="eastAsia"/>
          <w:sz w:val="32"/>
          <w:szCs w:val="32"/>
        </w:rPr>
        <w:t>的项目，地方</w:t>
      </w:r>
      <w:r w:rsidR="008B5E6D">
        <w:rPr>
          <w:rFonts w:ascii="仿宋_GB2312" w:eastAsia="仿宋_GB2312" w:hAnsi="Arial" w:cs="仿宋_GB2312" w:hint="eastAsia"/>
          <w:sz w:val="32"/>
          <w:szCs w:val="32"/>
        </w:rPr>
        <w:t>各级</w:t>
      </w:r>
      <w:r w:rsidRPr="004335A3">
        <w:rPr>
          <w:rFonts w:ascii="仿宋_GB2312" w:eastAsia="仿宋_GB2312" w:hAnsi="Arial" w:cs="仿宋_GB2312" w:hint="eastAsia"/>
          <w:sz w:val="32"/>
          <w:szCs w:val="32"/>
        </w:rPr>
        <w:t>财政部门逐级上报至省级财政部门，由省级财政部门向财政部申请注册执收项目识别码。</w:t>
      </w:r>
    </w:p>
    <w:p w:rsidR="002756AD" w:rsidRPr="004335A3" w:rsidRDefault="002756AD" w:rsidP="002756AD">
      <w:pPr>
        <w:ind w:left="-57" w:firstLine="624"/>
        <w:rPr>
          <w:rFonts w:ascii="仿宋_GB2312" w:eastAsia="仿宋_GB2312" w:hAnsi="Arial" w:cs="Times New Roman"/>
          <w:sz w:val="32"/>
          <w:szCs w:val="32"/>
        </w:rPr>
      </w:pPr>
      <w:r w:rsidRPr="004335A3">
        <w:rPr>
          <w:rFonts w:ascii="仿宋_GB2312" w:eastAsia="仿宋_GB2312" w:hAnsi="Arial" w:cs="仿宋_GB2312" w:hint="eastAsia"/>
          <w:sz w:val="32"/>
          <w:szCs w:val="32"/>
        </w:rPr>
        <w:t>4.财政部对省级财政部门上报的非税收入执收项目识别码注册申请进行确认，通过后进行系统注册，生成全国统一的执收项目识别码。</w:t>
      </w:r>
    </w:p>
    <w:p w:rsidR="002756AD" w:rsidRPr="004335A3" w:rsidRDefault="002756AD" w:rsidP="004335A3">
      <w:pPr>
        <w:ind w:firstLineChars="200" w:firstLine="640"/>
        <w:rPr>
          <w:rFonts w:ascii="仿宋_GB2312" w:eastAsia="仿宋_GB2312" w:hAnsi="仿宋" w:cs="仿宋_GB2312" w:hint="eastAsia"/>
          <w:sz w:val="32"/>
          <w:szCs w:val="32"/>
        </w:rPr>
      </w:pPr>
      <w:r w:rsidRPr="004335A3">
        <w:rPr>
          <w:rFonts w:ascii="仿宋_GB2312" w:eastAsia="仿宋_GB2312" w:hAnsi="Arial" w:cs="仿宋_GB2312" w:hint="eastAsia"/>
          <w:sz w:val="32"/>
          <w:szCs w:val="32"/>
        </w:rPr>
        <w:t>5.地方</w:t>
      </w:r>
      <w:r w:rsidR="008B5E6D">
        <w:rPr>
          <w:rFonts w:ascii="仿宋_GB2312" w:eastAsia="仿宋_GB2312" w:hAnsi="Arial" w:cs="仿宋_GB2312" w:hint="eastAsia"/>
          <w:sz w:val="32"/>
          <w:szCs w:val="32"/>
        </w:rPr>
        <w:t>各级</w:t>
      </w:r>
      <w:r w:rsidRPr="004335A3">
        <w:rPr>
          <w:rFonts w:ascii="仿宋_GB2312" w:eastAsia="仿宋_GB2312" w:hAnsi="Arial" w:cs="仿宋_GB2312" w:hint="eastAsia"/>
          <w:sz w:val="32"/>
          <w:szCs w:val="32"/>
        </w:rPr>
        <w:t>财政部门将</w:t>
      </w:r>
      <w:r w:rsidR="00D82AE7" w:rsidRPr="004335A3">
        <w:rPr>
          <w:rFonts w:ascii="仿宋_GB2312" w:eastAsia="仿宋_GB2312" w:hAnsi="Arial" w:cs="仿宋_GB2312" w:hint="eastAsia"/>
          <w:sz w:val="32"/>
          <w:szCs w:val="32"/>
        </w:rPr>
        <w:t>财政部反馈</w:t>
      </w:r>
      <w:r w:rsidRPr="004335A3">
        <w:rPr>
          <w:rFonts w:ascii="仿宋_GB2312" w:eastAsia="仿宋_GB2312" w:hAnsi="Arial" w:cs="仿宋_GB2312" w:hint="eastAsia"/>
          <w:sz w:val="32"/>
          <w:szCs w:val="32"/>
        </w:rPr>
        <w:t>的执收项目识别码维护到地方非税系统中。</w:t>
      </w:r>
    </w:p>
    <w:p w:rsidR="00BF4300" w:rsidRPr="002756AD" w:rsidRDefault="00BF4300"/>
    <w:sectPr w:rsidR="00BF4300" w:rsidRPr="002756AD" w:rsidSect="00BF430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38C" w:rsidRDefault="002E338C" w:rsidP="00D82AE7">
      <w:r>
        <w:separator/>
      </w:r>
    </w:p>
  </w:endnote>
  <w:endnote w:type="continuationSeparator" w:id="1">
    <w:p w:rsidR="002E338C" w:rsidRDefault="002E338C" w:rsidP="00D82A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MS Gothic"/>
    <w:panose1 w:val="00000000000000000000"/>
    <w:charset w:val="86"/>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3657"/>
      <w:docPartObj>
        <w:docPartGallery w:val="Page Numbers (Bottom of Page)"/>
        <w:docPartUnique/>
      </w:docPartObj>
    </w:sdtPr>
    <w:sdtContent>
      <w:p w:rsidR="00332696" w:rsidRDefault="00332696">
        <w:pPr>
          <w:pStyle w:val="a5"/>
          <w:jc w:val="center"/>
        </w:pPr>
        <w:r w:rsidRPr="00332696">
          <w:rPr>
            <w:rFonts w:ascii="仿宋_GB2312" w:eastAsia="仿宋_GB2312" w:hint="eastAsia"/>
          </w:rPr>
          <w:fldChar w:fldCharType="begin"/>
        </w:r>
        <w:r w:rsidRPr="00332696">
          <w:rPr>
            <w:rFonts w:ascii="仿宋_GB2312" w:eastAsia="仿宋_GB2312" w:hint="eastAsia"/>
          </w:rPr>
          <w:instrText xml:space="preserve"> PAGE   \* MERGEFORMAT </w:instrText>
        </w:r>
        <w:r w:rsidRPr="00332696">
          <w:rPr>
            <w:rFonts w:ascii="仿宋_GB2312" w:eastAsia="仿宋_GB2312" w:hint="eastAsia"/>
          </w:rPr>
          <w:fldChar w:fldCharType="separate"/>
        </w:r>
        <w:r w:rsidRPr="00332696">
          <w:rPr>
            <w:rFonts w:ascii="仿宋_GB2312" w:eastAsia="仿宋_GB2312"/>
            <w:noProof/>
            <w:lang w:val="zh-CN"/>
          </w:rPr>
          <w:t>3</w:t>
        </w:r>
        <w:r w:rsidRPr="00332696">
          <w:rPr>
            <w:rFonts w:ascii="仿宋_GB2312" w:eastAsia="仿宋_GB2312" w:hint="eastAsia"/>
          </w:rPr>
          <w:fldChar w:fldCharType="end"/>
        </w:r>
      </w:p>
    </w:sdtContent>
  </w:sdt>
  <w:p w:rsidR="00332696" w:rsidRDefault="003326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38C" w:rsidRDefault="002E338C" w:rsidP="00D82AE7">
      <w:r>
        <w:separator/>
      </w:r>
    </w:p>
  </w:footnote>
  <w:footnote w:type="continuationSeparator" w:id="1">
    <w:p w:rsidR="002E338C" w:rsidRDefault="002E338C" w:rsidP="00D82A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6293D"/>
    <w:multiLevelType w:val="multilevel"/>
    <w:tmpl w:val="4386293D"/>
    <w:lvl w:ilvl="0">
      <w:start w:val="1"/>
      <w:numFmt w:val="decimal"/>
      <w:lvlText w:val="%1"/>
      <w:lvlJc w:val="left"/>
      <w:pPr>
        <w:ind w:left="432" w:hanging="432"/>
      </w:pPr>
      <w:rPr>
        <w:rFonts w:hint="eastAsia"/>
      </w:rPr>
    </w:lvl>
    <w:lvl w:ilvl="1">
      <w:start w:val="1"/>
      <w:numFmt w:val="decimal"/>
      <w:pStyle w:val="2"/>
      <w:lvlText w:val="%1.%2"/>
      <w:lvlJc w:val="left"/>
      <w:pPr>
        <w:ind w:left="576" w:hanging="576"/>
      </w:pPr>
      <w:rPr>
        <w:rFonts w:hint="eastAsia"/>
        <w:sz w:val="28"/>
        <w:szCs w:val="28"/>
      </w:rPr>
    </w:lvl>
    <w:lvl w:ilvl="2">
      <w:start w:val="1"/>
      <w:numFmt w:val="decimal"/>
      <w:pStyle w:val="3"/>
      <w:lvlText w:val="%1.%2.%3"/>
      <w:lvlJc w:val="left"/>
      <w:pPr>
        <w:ind w:left="720" w:hanging="720"/>
      </w:pPr>
      <w:rPr>
        <w:rFonts w:hint="eastAsia"/>
        <w:b w:val="0"/>
        <w:bCs w:val="0"/>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56AD"/>
    <w:rsid w:val="0006623C"/>
    <w:rsid w:val="000A0A0A"/>
    <w:rsid w:val="00142C98"/>
    <w:rsid w:val="002756AD"/>
    <w:rsid w:val="002E2314"/>
    <w:rsid w:val="002E338C"/>
    <w:rsid w:val="00332696"/>
    <w:rsid w:val="004335A3"/>
    <w:rsid w:val="00534CFF"/>
    <w:rsid w:val="0056467B"/>
    <w:rsid w:val="005D77CA"/>
    <w:rsid w:val="0079164C"/>
    <w:rsid w:val="008B5E6D"/>
    <w:rsid w:val="00B07E67"/>
    <w:rsid w:val="00BF4300"/>
    <w:rsid w:val="00C03B94"/>
    <w:rsid w:val="00CC2763"/>
    <w:rsid w:val="00D82AE7"/>
    <w:rsid w:val="00DA1B55"/>
    <w:rsid w:val="00EA7D43"/>
    <w:rsid w:val="00FB3D19"/>
    <w:rsid w:val="00FF6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AD"/>
    <w:pPr>
      <w:widowControl w:val="0"/>
      <w:jc w:val="both"/>
    </w:pPr>
  </w:style>
  <w:style w:type="paragraph" w:styleId="2">
    <w:name w:val="heading 2"/>
    <w:basedOn w:val="a"/>
    <w:next w:val="a"/>
    <w:link w:val="2Char"/>
    <w:uiPriority w:val="99"/>
    <w:qFormat/>
    <w:rsid w:val="002756AD"/>
    <w:pPr>
      <w:keepNext/>
      <w:keepLines/>
      <w:numPr>
        <w:ilvl w:val="1"/>
        <w:numId w:val="1"/>
      </w:numPr>
      <w:spacing w:before="260" w:after="260" w:line="416" w:lineRule="auto"/>
      <w:outlineLvl w:val="1"/>
    </w:pPr>
    <w:rPr>
      <w:rFonts w:ascii="宋体" w:eastAsia="黑体" w:hAnsi="宋体" w:cs="宋体"/>
      <w:b/>
      <w:bCs/>
      <w:kern w:val="44"/>
      <w:szCs w:val="21"/>
    </w:rPr>
  </w:style>
  <w:style w:type="paragraph" w:styleId="3">
    <w:name w:val="heading 3"/>
    <w:basedOn w:val="a"/>
    <w:next w:val="a"/>
    <w:link w:val="3Char"/>
    <w:uiPriority w:val="99"/>
    <w:qFormat/>
    <w:rsid w:val="002756AD"/>
    <w:pPr>
      <w:keepNext/>
      <w:keepLines/>
      <w:numPr>
        <w:ilvl w:val="2"/>
        <w:numId w:val="1"/>
      </w:numPr>
      <w:spacing w:before="260" w:after="260" w:line="416" w:lineRule="auto"/>
      <w:outlineLvl w:val="2"/>
    </w:pPr>
    <w:rPr>
      <w:rFonts w:ascii="宋体" w:eastAsia="宋体" w:hAnsi="宋体" w:cs="宋体"/>
      <w:b/>
      <w:bCs/>
      <w:kern w:val="44"/>
      <w:szCs w:val="21"/>
    </w:rPr>
  </w:style>
  <w:style w:type="paragraph" w:styleId="4">
    <w:name w:val="heading 4"/>
    <w:basedOn w:val="a"/>
    <w:next w:val="a"/>
    <w:link w:val="4Char"/>
    <w:uiPriority w:val="99"/>
    <w:qFormat/>
    <w:rsid w:val="002756AD"/>
    <w:pPr>
      <w:keepNext/>
      <w:keepLines/>
      <w:numPr>
        <w:ilvl w:val="3"/>
        <w:numId w:val="1"/>
      </w:numPr>
      <w:spacing w:before="280" w:after="290" w:line="376" w:lineRule="auto"/>
      <w:outlineLvl w:val="3"/>
    </w:pPr>
    <w:rPr>
      <w:rFonts w:ascii="Arial" w:eastAsia="黑体" w:hAnsi="Arial" w:cs="Arial"/>
      <w:b/>
      <w:bCs/>
      <w:kern w:val="44"/>
      <w:sz w:val="28"/>
      <w:szCs w:val="28"/>
    </w:rPr>
  </w:style>
  <w:style w:type="paragraph" w:styleId="5">
    <w:name w:val="heading 5"/>
    <w:basedOn w:val="a"/>
    <w:next w:val="a"/>
    <w:link w:val="5Char"/>
    <w:uiPriority w:val="99"/>
    <w:qFormat/>
    <w:rsid w:val="002756AD"/>
    <w:pPr>
      <w:keepNext/>
      <w:keepLines/>
      <w:numPr>
        <w:ilvl w:val="4"/>
        <w:numId w:val="1"/>
      </w:numPr>
      <w:spacing w:before="280" w:after="290" w:line="376" w:lineRule="auto"/>
      <w:outlineLvl w:val="4"/>
    </w:pPr>
    <w:rPr>
      <w:rFonts w:ascii="宋体" w:eastAsia="宋体" w:hAnsi="Times New Roman" w:cs="宋体"/>
      <w:b/>
      <w:bCs/>
      <w:kern w:val="0"/>
      <w:sz w:val="28"/>
      <w:szCs w:val="28"/>
    </w:rPr>
  </w:style>
  <w:style w:type="paragraph" w:styleId="6">
    <w:name w:val="heading 6"/>
    <w:basedOn w:val="a"/>
    <w:next w:val="a"/>
    <w:link w:val="6Char"/>
    <w:uiPriority w:val="99"/>
    <w:qFormat/>
    <w:rsid w:val="002756AD"/>
    <w:pPr>
      <w:keepNext/>
      <w:keepLines/>
      <w:numPr>
        <w:ilvl w:val="5"/>
        <w:numId w:val="1"/>
      </w:numPr>
      <w:spacing w:before="240" w:after="64" w:line="320" w:lineRule="auto"/>
      <w:outlineLvl w:val="5"/>
    </w:pPr>
    <w:rPr>
      <w:rFonts w:ascii="Arial" w:eastAsia="黑体" w:hAnsi="Arial" w:cs="Arial"/>
      <w:b/>
      <w:bCs/>
      <w:kern w:val="0"/>
      <w:sz w:val="24"/>
      <w:szCs w:val="24"/>
    </w:rPr>
  </w:style>
  <w:style w:type="paragraph" w:styleId="7">
    <w:name w:val="heading 7"/>
    <w:basedOn w:val="a"/>
    <w:next w:val="a"/>
    <w:link w:val="7Char"/>
    <w:uiPriority w:val="99"/>
    <w:qFormat/>
    <w:rsid w:val="002756AD"/>
    <w:pPr>
      <w:keepNext/>
      <w:keepLines/>
      <w:numPr>
        <w:ilvl w:val="6"/>
        <w:numId w:val="1"/>
      </w:numPr>
      <w:spacing w:before="240" w:after="64" w:line="320" w:lineRule="auto"/>
      <w:outlineLvl w:val="6"/>
    </w:pPr>
    <w:rPr>
      <w:rFonts w:ascii="Times New Roman" w:eastAsia="宋体" w:hAnsi="Times New Roman" w:cs="Times New Roman"/>
      <w:b/>
      <w:bCs/>
      <w:kern w:val="0"/>
      <w:sz w:val="24"/>
      <w:szCs w:val="24"/>
    </w:rPr>
  </w:style>
  <w:style w:type="paragraph" w:styleId="8">
    <w:name w:val="heading 8"/>
    <w:basedOn w:val="a"/>
    <w:next w:val="a"/>
    <w:link w:val="8Char"/>
    <w:uiPriority w:val="99"/>
    <w:qFormat/>
    <w:rsid w:val="002756AD"/>
    <w:pPr>
      <w:keepNext/>
      <w:keepLines/>
      <w:numPr>
        <w:ilvl w:val="7"/>
        <w:numId w:val="1"/>
      </w:numPr>
      <w:spacing w:before="240" w:after="64" w:line="320" w:lineRule="auto"/>
      <w:outlineLvl w:val="7"/>
    </w:pPr>
    <w:rPr>
      <w:rFonts w:ascii="Arial" w:eastAsia="黑体" w:hAnsi="Arial" w:cs="Arial"/>
      <w:kern w:val="0"/>
      <w:sz w:val="24"/>
      <w:szCs w:val="24"/>
    </w:rPr>
  </w:style>
  <w:style w:type="paragraph" w:styleId="9">
    <w:name w:val="heading 9"/>
    <w:basedOn w:val="a"/>
    <w:next w:val="a"/>
    <w:link w:val="9Char"/>
    <w:uiPriority w:val="99"/>
    <w:qFormat/>
    <w:rsid w:val="002756AD"/>
    <w:pPr>
      <w:keepNext/>
      <w:keepLines/>
      <w:numPr>
        <w:ilvl w:val="8"/>
        <w:numId w:val="1"/>
      </w:numPr>
      <w:spacing w:before="240" w:after="64" w:line="320" w:lineRule="auto"/>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2756AD"/>
    <w:rPr>
      <w:rFonts w:ascii="宋体" w:eastAsia="黑体" w:hAnsi="宋体" w:cs="宋体"/>
      <w:b/>
      <w:bCs/>
      <w:kern w:val="44"/>
      <w:szCs w:val="21"/>
    </w:rPr>
  </w:style>
  <w:style w:type="character" w:customStyle="1" w:styleId="3Char">
    <w:name w:val="标题 3 Char"/>
    <w:basedOn w:val="a0"/>
    <w:link w:val="3"/>
    <w:uiPriority w:val="99"/>
    <w:rsid w:val="002756AD"/>
    <w:rPr>
      <w:rFonts w:ascii="宋体" w:eastAsia="宋体" w:hAnsi="宋体" w:cs="宋体"/>
      <w:b/>
      <w:bCs/>
      <w:kern w:val="44"/>
      <w:szCs w:val="21"/>
    </w:rPr>
  </w:style>
  <w:style w:type="character" w:customStyle="1" w:styleId="4Char">
    <w:name w:val="标题 4 Char"/>
    <w:basedOn w:val="a0"/>
    <w:link w:val="4"/>
    <w:uiPriority w:val="99"/>
    <w:rsid w:val="002756AD"/>
    <w:rPr>
      <w:rFonts w:ascii="Arial" w:eastAsia="黑体" w:hAnsi="Arial" w:cs="Arial"/>
      <w:b/>
      <w:bCs/>
      <w:kern w:val="44"/>
      <w:sz w:val="28"/>
      <w:szCs w:val="28"/>
    </w:rPr>
  </w:style>
  <w:style w:type="character" w:customStyle="1" w:styleId="5Char">
    <w:name w:val="标题 5 Char"/>
    <w:basedOn w:val="a0"/>
    <w:link w:val="5"/>
    <w:uiPriority w:val="99"/>
    <w:rsid w:val="002756AD"/>
    <w:rPr>
      <w:rFonts w:ascii="宋体" w:eastAsia="宋体" w:hAnsi="Times New Roman" w:cs="宋体"/>
      <w:b/>
      <w:bCs/>
      <w:kern w:val="0"/>
      <w:sz w:val="28"/>
      <w:szCs w:val="28"/>
    </w:rPr>
  </w:style>
  <w:style w:type="character" w:customStyle="1" w:styleId="6Char">
    <w:name w:val="标题 6 Char"/>
    <w:basedOn w:val="a0"/>
    <w:link w:val="6"/>
    <w:uiPriority w:val="99"/>
    <w:rsid w:val="002756AD"/>
    <w:rPr>
      <w:rFonts w:ascii="Arial" w:eastAsia="黑体" w:hAnsi="Arial" w:cs="Arial"/>
      <w:b/>
      <w:bCs/>
      <w:kern w:val="0"/>
      <w:sz w:val="24"/>
      <w:szCs w:val="24"/>
    </w:rPr>
  </w:style>
  <w:style w:type="character" w:customStyle="1" w:styleId="7Char">
    <w:name w:val="标题 7 Char"/>
    <w:basedOn w:val="a0"/>
    <w:link w:val="7"/>
    <w:uiPriority w:val="99"/>
    <w:rsid w:val="002756AD"/>
    <w:rPr>
      <w:rFonts w:ascii="Times New Roman" w:eastAsia="宋体" w:hAnsi="Times New Roman" w:cs="Times New Roman"/>
      <w:b/>
      <w:bCs/>
      <w:kern w:val="0"/>
      <w:sz w:val="24"/>
      <w:szCs w:val="24"/>
    </w:rPr>
  </w:style>
  <w:style w:type="character" w:customStyle="1" w:styleId="8Char">
    <w:name w:val="标题 8 Char"/>
    <w:basedOn w:val="a0"/>
    <w:link w:val="8"/>
    <w:uiPriority w:val="99"/>
    <w:rsid w:val="002756AD"/>
    <w:rPr>
      <w:rFonts w:ascii="Arial" w:eastAsia="黑体" w:hAnsi="Arial" w:cs="Arial"/>
      <w:kern w:val="0"/>
      <w:sz w:val="24"/>
      <w:szCs w:val="24"/>
    </w:rPr>
  </w:style>
  <w:style w:type="character" w:customStyle="1" w:styleId="9Char">
    <w:name w:val="标题 9 Char"/>
    <w:basedOn w:val="a0"/>
    <w:link w:val="9"/>
    <w:uiPriority w:val="99"/>
    <w:rsid w:val="002756AD"/>
    <w:rPr>
      <w:rFonts w:ascii="Arial" w:eastAsia="黑体" w:hAnsi="Arial" w:cs="Arial"/>
      <w:kern w:val="0"/>
      <w:sz w:val="20"/>
      <w:szCs w:val="20"/>
    </w:rPr>
  </w:style>
  <w:style w:type="paragraph" w:styleId="a3">
    <w:name w:val="Document Map"/>
    <w:basedOn w:val="a"/>
    <w:link w:val="Char"/>
    <w:uiPriority w:val="99"/>
    <w:semiHidden/>
    <w:unhideWhenUsed/>
    <w:rsid w:val="002756AD"/>
    <w:rPr>
      <w:rFonts w:ascii="宋体" w:eastAsia="宋体"/>
      <w:sz w:val="18"/>
      <w:szCs w:val="18"/>
    </w:rPr>
  </w:style>
  <w:style w:type="character" w:customStyle="1" w:styleId="Char">
    <w:name w:val="文档结构图 Char"/>
    <w:basedOn w:val="a0"/>
    <w:link w:val="a3"/>
    <w:uiPriority w:val="99"/>
    <w:semiHidden/>
    <w:rsid w:val="002756AD"/>
    <w:rPr>
      <w:rFonts w:ascii="宋体" w:eastAsia="宋体"/>
      <w:sz w:val="18"/>
      <w:szCs w:val="18"/>
    </w:rPr>
  </w:style>
  <w:style w:type="paragraph" w:styleId="a4">
    <w:name w:val="header"/>
    <w:basedOn w:val="a"/>
    <w:link w:val="Char0"/>
    <w:uiPriority w:val="99"/>
    <w:semiHidden/>
    <w:unhideWhenUsed/>
    <w:rsid w:val="00D82A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82AE7"/>
    <w:rPr>
      <w:sz w:val="18"/>
      <w:szCs w:val="18"/>
    </w:rPr>
  </w:style>
  <w:style w:type="paragraph" w:styleId="a5">
    <w:name w:val="footer"/>
    <w:basedOn w:val="a"/>
    <w:link w:val="Char1"/>
    <w:uiPriority w:val="99"/>
    <w:unhideWhenUsed/>
    <w:rsid w:val="00D82AE7"/>
    <w:pPr>
      <w:tabs>
        <w:tab w:val="center" w:pos="4153"/>
        <w:tab w:val="right" w:pos="8306"/>
      </w:tabs>
      <w:snapToGrid w:val="0"/>
      <w:jc w:val="left"/>
    </w:pPr>
    <w:rPr>
      <w:sz w:val="18"/>
      <w:szCs w:val="18"/>
    </w:rPr>
  </w:style>
  <w:style w:type="character" w:customStyle="1" w:styleId="Char1">
    <w:name w:val="页脚 Char"/>
    <w:basedOn w:val="a0"/>
    <w:link w:val="a5"/>
    <w:uiPriority w:val="99"/>
    <w:rsid w:val="00D82AE7"/>
    <w:rPr>
      <w:sz w:val="18"/>
      <w:szCs w:val="18"/>
    </w:rPr>
  </w:style>
  <w:style w:type="paragraph" w:styleId="a6">
    <w:name w:val="Balloon Text"/>
    <w:basedOn w:val="a"/>
    <w:link w:val="Char2"/>
    <w:uiPriority w:val="99"/>
    <w:semiHidden/>
    <w:unhideWhenUsed/>
    <w:rsid w:val="00332696"/>
    <w:rPr>
      <w:sz w:val="18"/>
      <w:szCs w:val="18"/>
    </w:rPr>
  </w:style>
  <w:style w:type="character" w:customStyle="1" w:styleId="Char2">
    <w:name w:val="批注框文本 Char"/>
    <w:basedOn w:val="a0"/>
    <w:link w:val="a6"/>
    <w:uiPriority w:val="99"/>
    <w:semiHidden/>
    <w:rsid w:val="0033269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12222111111111111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157</Words>
  <Characters>901</Characters>
  <Application>Microsoft Office Word</Application>
  <DocSecurity>0</DocSecurity>
  <Lines>7</Lines>
  <Paragraphs>2</Paragraphs>
  <ScaleCrop>false</ScaleCrop>
  <Company>Hewlett-Packard Company</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田红梅</dc:creator>
  <cp:lastModifiedBy>Lenovo User</cp:lastModifiedBy>
  <cp:revision>8</cp:revision>
  <dcterms:created xsi:type="dcterms:W3CDTF">2016-12-29T12:56:00Z</dcterms:created>
  <dcterms:modified xsi:type="dcterms:W3CDTF">2017-01-16T02:14:00Z</dcterms:modified>
</cp:coreProperties>
</file>