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widowControl/>
        <w:spacing w:before="100" w:beforeAutospacing="1" w:after="100" w:afterAutospacing="1" w:line="432" w:lineRule="auto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宋体"/>
          <w:color w:val="000000"/>
          <w:kern w:val="0"/>
          <w:sz w:val="32"/>
          <w:szCs w:val="32"/>
        </w:rPr>
        <w:t>享受营业税优惠政策的涉农贷款业务清单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1、法人农业贷款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2、法人林业贷款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3、法人畜牧业贷款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4、法人渔业贷款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5、法人农林牧渔服务业贷款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6、法人其他涉农贷款（煤炭、烟草、采矿业、房地产业、城市基础设施建设和其他类的法人涉农贷款除外）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7、小型农田水利设施贷款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8、大型灌区改造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9、中低产田改造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10、防涝抗旱减灾体系建设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11、农产品加工贷款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12、农业生产资料制造贷款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13、农业物资流通贷款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14、农副产品流通贷款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15、农产品出口贷款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16、农业科技贷款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17、农业综合生产能力建设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18、农田水利设施建设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19、农产品流通设施建设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20、其他农业生产性基础设施建设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21、农村饮水安全工程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22、农村公路建设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23、农村能源建设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24、农村沼气建设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25、其他农村生活基础设施建设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26、农村教育设施建设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27、农村卫生设施建设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28、农村文化体育设施建设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29、林业和生态环境建设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30、个人农业贷款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31、个人林业贷款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32、个人畜牧业贷款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33、个人渔业贷款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34、个人农林牧渔服务业贷款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35、农户其他生产经营贷款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36、农户助学贷款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37、农户医疗贷款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38、农户住房贷款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39、农户其他消费贷款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77</Words>
  <Characters>441</Characters>
  <Lines>3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享受营业税优惠政策的涉农贷款业务清单</dc:title>
  <dc:creator>www.shui5.cn&lt;税屋&gt;</dc:creator>
  <cp:lastModifiedBy>MS-201109260924</cp:lastModifiedBy>
  <cp:revision/>
  <cp:lastPrinted>2013-12-26T00:22:00Z</cp:lastPrinted>
  <dcterms:created xsi:type="dcterms:W3CDTF">2014-01-17T03:00:00Z</dcterms:created>
  <dcterms:modified xsi:type="dcterms:W3CDTF">2014-01-17T08:57:50Z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