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20" w:firstLineChars="100"/>
        <w:rPr>
          <w:rFonts w:hint="eastAsia"/>
        </w:rPr>
      </w:pPr>
    </w:p>
    <w:p>
      <w:pPr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附件3</w:t>
      </w:r>
    </w:p>
    <w:p>
      <w:pPr>
        <w:rPr>
          <w:rFonts w:hint="eastAsia" w:ascii="黑体" w:eastAsia="黑体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农产品增值税进项税额核定扣除申请表</w:t>
      </w:r>
    </w:p>
    <w:p>
      <w:pPr>
        <w:rPr>
          <w:rFonts w:hint="eastAsia"/>
        </w:rPr>
      </w:pPr>
    </w:p>
    <w:p>
      <w:pPr>
        <w:ind w:left="-822" w:leftChars="-257"/>
        <w:rPr>
          <w:rFonts w:hint="eastAsia"/>
        </w:rPr>
      </w:pPr>
      <w:r>
        <w:rPr>
          <w:rFonts w:hint="eastAsia"/>
        </w:rPr>
        <w:t>纳税人识别号：</w:t>
      </w:r>
    </w:p>
    <w:p>
      <w:pPr>
        <w:ind w:left="-822" w:leftChars="-257"/>
        <w:rPr>
          <w:rFonts w:hint="eastAsia"/>
        </w:rPr>
      </w:pPr>
      <w:r>
        <w:rPr>
          <w:rFonts w:hint="eastAsia"/>
        </w:rPr>
        <w:t>纳税人名称：（公章）                          填表时间：          单位：吨；元；元/吨</w:t>
      </w:r>
    </w:p>
    <w:tbl>
      <w:tblPr>
        <w:tblStyle w:val="4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947"/>
        <w:gridCol w:w="947"/>
        <w:gridCol w:w="947"/>
        <w:gridCol w:w="947"/>
        <w:gridCol w:w="774"/>
        <w:gridCol w:w="144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产品产量(吨)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期初库存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本期购进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期末库存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本期投入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平均买价(元/吨)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测算单耗数量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940" w:type="dxa"/>
            <w:gridSpan w:val="6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主管税务机关审核意见：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_GB2312"/>
              </w:rPr>
              <w:t>（公章）</w:t>
            </w:r>
          </w:p>
        </w:tc>
        <w:tc>
          <w:tcPr>
            <w:tcW w:w="3600" w:type="dxa"/>
            <w:gridSpan w:val="3"/>
            <w:vMerge w:val="restart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仿宋_GB2312"/>
              </w:rPr>
              <w:t>市局核定小组意见：（章）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vAlign w:val="center"/>
          </w:tcPr>
          <w:p>
            <w:pPr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</w:rPr>
              <w:t>经办人：</w:t>
            </w:r>
          </w:p>
        </w:tc>
        <w:tc>
          <w:tcPr>
            <w:tcW w:w="4562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00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vAlign w:val="center"/>
          </w:tcPr>
          <w:p>
            <w:pPr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</w:rPr>
              <w:t>部门负责人：</w:t>
            </w:r>
          </w:p>
        </w:tc>
        <w:tc>
          <w:tcPr>
            <w:tcW w:w="4562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00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vAlign w:val="center"/>
          </w:tcPr>
          <w:p>
            <w:pPr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</w:rPr>
              <w:t>分管局长：</w:t>
            </w:r>
          </w:p>
        </w:tc>
        <w:tc>
          <w:tcPr>
            <w:tcW w:w="4562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00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说明：1、本表填列上一年度数据(新办企业除外）。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  2、5=2+3-4；7=5÷1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  3、本表按货物（产品）填报，同一产品耗用农产品不同的，视同不同产品分别填报。</w:t>
      </w:r>
    </w:p>
    <w:p>
      <w:pPr>
        <w:rPr>
          <w:rFonts w:hint="eastAsia"/>
        </w:rPr>
      </w:pPr>
      <w:r>
        <w:rPr>
          <w:rFonts w:hint="eastAsia"/>
        </w:rPr>
        <w:t xml:space="preserve">      4、 一个货物耗用农产品两个及以上并构成货物实体的，应分别填写相关数据。</w:t>
      </w:r>
    </w:p>
    <w:p>
      <w:pPr>
        <w:rPr>
          <w:rFonts w:hint="eastAsia"/>
        </w:rPr>
      </w:pPr>
      <w:r>
        <w:rPr>
          <w:rFonts w:hint="eastAsia"/>
        </w:rPr>
        <w:t xml:space="preserve">      5、有特殊情况可加附页说明。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  6、本表一式二份，核定完成后，市局、主管税务机关政策法规部门各留存一份。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spacing w:line="600" w:lineRule="exact"/>
        <w:ind w:firstLine="320" w:firstLineChars="100"/>
        <w:rPr>
          <w:rFonts w:hint="eastAsia"/>
        </w:rPr>
      </w:pPr>
    </w:p>
    <w:p>
      <w:pPr>
        <w:spacing w:line="600" w:lineRule="exact"/>
        <w:ind w:firstLine="320" w:firstLineChars="100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86210"/>
    <w:rsid w:val="36C862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2018-06-19T09:14:00Z</dcterms:created>
  <dc:creator>小星</dc:creator>
  <cp:lastModifiedBy>小星</cp:lastModifiedBy>
  <dcterms:modified xsi:type="dcterms:W3CDTF">2018-06-19T09:14:25Z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